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E4595" w14:textId="77777777" w:rsidR="00D557C1" w:rsidRPr="00D557C1" w:rsidRDefault="00D557C1" w:rsidP="00D557C1">
      <w:pPr>
        <w:ind w:left="1410" w:hanging="1410"/>
        <w:jc w:val="center"/>
        <w:outlineLvl w:val="0"/>
        <w:rPr>
          <w:rFonts w:ascii="Verdana" w:hAnsi="Verdana"/>
          <w:b/>
          <w:bCs/>
          <w:spacing w:val="0"/>
          <w:sz w:val="20"/>
          <w:szCs w:val="20"/>
          <w:lang w:val="es-CO"/>
        </w:rPr>
      </w:pPr>
      <w:r w:rsidRPr="00D557C1">
        <w:rPr>
          <w:rFonts w:ascii="Verdana" w:hAnsi="Verdana"/>
          <w:b/>
          <w:bCs/>
          <w:spacing w:val="0"/>
          <w:sz w:val="20"/>
          <w:szCs w:val="20"/>
          <w:lang w:val="es-CO"/>
        </w:rPr>
        <w:t>PARTE 2</w:t>
      </w:r>
    </w:p>
    <w:p w14:paraId="3A805645" w14:textId="77777777" w:rsidR="00D557C1" w:rsidRPr="00D557C1" w:rsidRDefault="00D557C1" w:rsidP="00D557C1">
      <w:pPr>
        <w:ind w:left="1410" w:hanging="1410"/>
        <w:jc w:val="center"/>
        <w:outlineLvl w:val="0"/>
        <w:rPr>
          <w:rFonts w:ascii="Verdana" w:hAnsi="Verdana"/>
          <w:b/>
          <w:bCs/>
          <w:spacing w:val="0"/>
          <w:sz w:val="20"/>
          <w:szCs w:val="20"/>
          <w:lang w:val="es-CO"/>
        </w:rPr>
      </w:pPr>
      <w:r w:rsidRPr="00D557C1">
        <w:rPr>
          <w:rFonts w:ascii="Verdana" w:hAnsi="Verdana"/>
          <w:b/>
          <w:bCs/>
          <w:spacing w:val="0"/>
          <w:sz w:val="20"/>
          <w:szCs w:val="20"/>
          <w:lang w:val="es-CO"/>
        </w:rPr>
        <w:t>CONTROLES DE LEY Y ASUNTOS PRUDENCIALES</w:t>
      </w:r>
    </w:p>
    <w:p w14:paraId="687A798B" w14:textId="77777777" w:rsidR="00D557C1" w:rsidRPr="00D557C1" w:rsidRDefault="00D557C1" w:rsidP="00D557C1">
      <w:pPr>
        <w:ind w:left="1410" w:hanging="1410"/>
        <w:jc w:val="center"/>
        <w:outlineLvl w:val="0"/>
        <w:rPr>
          <w:rFonts w:ascii="Verdana" w:hAnsi="Verdana"/>
          <w:b/>
          <w:bCs/>
          <w:spacing w:val="0"/>
          <w:sz w:val="20"/>
          <w:szCs w:val="20"/>
          <w:lang w:val="es-CO"/>
        </w:rPr>
      </w:pPr>
    </w:p>
    <w:p w14:paraId="3D95B997" w14:textId="77777777" w:rsidR="00D557C1" w:rsidRPr="00D557C1" w:rsidRDefault="00D557C1" w:rsidP="00D557C1">
      <w:pPr>
        <w:ind w:left="1410" w:hanging="1410"/>
        <w:jc w:val="center"/>
        <w:outlineLvl w:val="0"/>
        <w:rPr>
          <w:rFonts w:ascii="Verdana" w:hAnsi="Verdana"/>
          <w:b/>
          <w:bCs/>
          <w:spacing w:val="0"/>
          <w:sz w:val="20"/>
          <w:szCs w:val="20"/>
          <w:lang w:val="es-CO"/>
        </w:rPr>
      </w:pPr>
      <w:r w:rsidRPr="00D557C1">
        <w:rPr>
          <w:rFonts w:ascii="Verdana" w:hAnsi="Verdana"/>
          <w:b/>
          <w:bCs/>
          <w:spacing w:val="0"/>
          <w:sz w:val="20"/>
          <w:szCs w:val="20"/>
          <w:lang w:val="es-CO"/>
        </w:rPr>
        <w:t>CAPÍTULO 9</w:t>
      </w:r>
    </w:p>
    <w:p w14:paraId="33FDA581" w14:textId="77777777" w:rsidR="00D557C1" w:rsidRPr="00D557C1" w:rsidRDefault="00D557C1" w:rsidP="00D557C1">
      <w:pPr>
        <w:ind w:left="1410" w:hanging="1410"/>
        <w:jc w:val="center"/>
        <w:outlineLvl w:val="0"/>
        <w:rPr>
          <w:rFonts w:ascii="Verdana" w:hAnsi="Verdana"/>
          <w:b/>
          <w:bCs/>
          <w:spacing w:val="0"/>
          <w:sz w:val="20"/>
          <w:szCs w:val="20"/>
          <w:lang w:val="es-CO"/>
        </w:rPr>
      </w:pPr>
      <w:r w:rsidRPr="00D557C1">
        <w:rPr>
          <w:rFonts w:ascii="Verdana" w:hAnsi="Verdana"/>
          <w:b/>
          <w:bCs/>
          <w:spacing w:val="0"/>
          <w:sz w:val="20"/>
          <w:szCs w:val="20"/>
          <w:lang w:val="es-CO"/>
        </w:rPr>
        <w:t>ESQUEMA DE PRUEBAS DE RESISTENCIA (EPR)</w:t>
      </w:r>
    </w:p>
    <w:p w14:paraId="24C322ED" w14:textId="77777777" w:rsidR="00BE3197" w:rsidRPr="00D557C1" w:rsidRDefault="00BE3197" w:rsidP="00BE3197">
      <w:pPr>
        <w:ind w:left="1410" w:hanging="1410"/>
        <w:jc w:val="center"/>
        <w:outlineLvl w:val="0"/>
        <w:rPr>
          <w:b/>
          <w:bCs/>
          <w:spacing w:val="0"/>
          <w:sz w:val="18"/>
          <w:szCs w:val="18"/>
          <w:lang w:val="es-CO"/>
        </w:rPr>
      </w:pPr>
    </w:p>
    <w:p w14:paraId="6D1FA880" w14:textId="77777777" w:rsidR="00BE3197" w:rsidRPr="00D557C1" w:rsidRDefault="00BE3197" w:rsidP="00D557C1">
      <w:pPr>
        <w:ind w:left="1410" w:hanging="1410"/>
        <w:jc w:val="center"/>
        <w:outlineLvl w:val="0"/>
        <w:rPr>
          <w:rFonts w:ascii="Verdana" w:hAnsi="Verdana"/>
          <w:b/>
          <w:bCs/>
          <w:spacing w:val="0"/>
          <w:sz w:val="20"/>
          <w:szCs w:val="20"/>
          <w:lang w:val="es-CO"/>
        </w:rPr>
      </w:pPr>
      <w:r w:rsidRPr="00D557C1">
        <w:rPr>
          <w:rFonts w:ascii="Verdana" w:hAnsi="Verdana"/>
          <w:b/>
          <w:bCs/>
          <w:spacing w:val="0"/>
          <w:sz w:val="20"/>
          <w:szCs w:val="20"/>
          <w:lang w:val="es-CO"/>
        </w:rPr>
        <w:t xml:space="preserve">ANEXO 1 </w:t>
      </w:r>
    </w:p>
    <w:p w14:paraId="72901E7F" w14:textId="77777777" w:rsidR="00BE3197" w:rsidRPr="00D557C1" w:rsidRDefault="00BE3197" w:rsidP="00D557C1">
      <w:pPr>
        <w:jc w:val="center"/>
        <w:outlineLvl w:val="0"/>
        <w:rPr>
          <w:rFonts w:ascii="Verdana" w:hAnsi="Verdana"/>
          <w:b/>
          <w:bCs/>
          <w:spacing w:val="0"/>
          <w:sz w:val="20"/>
          <w:szCs w:val="20"/>
          <w:lang w:val="es-CO"/>
        </w:rPr>
      </w:pPr>
      <w:r w:rsidRPr="00D557C1">
        <w:rPr>
          <w:rFonts w:ascii="Verdana" w:hAnsi="Verdana"/>
          <w:b/>
          <w:bCs/>
          <w:spacing w:val="0"/>
          <w:sz w:val="20"/>
          <w:szCs w:val="20"/>
          <w:lang w:val="es-CO"/>
        </w:rPr>
        <w:t>LINEAMIENTOS PARA EL ESQUEMA DE PRUEBAS DE RESISTENCIA (EPR) REQUERIDAS POR EL SUPERVISOR</w:t>
      </w:r>
    </w:p>
    <w:p w14:paraId="1DEEF2D6" w14:textId="77777777" w:rsidR="00BE3197" w:rsidRPr="00D557C1" w:rsidRDefault="00BE3197" w:rsidP="00D557C1">
      <w:pPr>
        <w:pStyle w:val="Textoindependiente"/>
        <w:rPr>
          <w:rFonts w:ascii="Verdana" w:hAnsi="Verdana"/>
          <w:spacing w:val="0"/>
          <w:sz w:val="20"/>
          <w:szCs w:val="20"/>
          <w:lang w:val="es-CO"/>
        </w:rPr>
      </w:pPr>
    </w:p>
    <w:p w14:paraId="31BE14EC" w14:textId="77777777" w:rsidR="005D68EF" w:rsidRDefault="005D68EF" w:rsidP="00D557C1">
      <w:pPr>
        <w:pStyle w:val="Normal9pt"/>
        <w:numPr>
          <w:ilvl w:val="0"/>
          <w:numId w:val="0"/>
        </w:numPr>
        <w:rPr>
          <w:rFonts w:ascii="Verdana" w:hAnsi="Verdana"/>
          <w:b/>
          <w:bCs/>
          <w:sz w:val="20"/>
          <w:szCs w:val="20"/>
          <w:lang w:val="es-CO"/>
        </w:rPr>
      </w:pPr>
    </w:p>
    <w:p w14:paraId="37624245" w14:textId="77777777" w:rsidR="005D68EF" w:rsidRDefault="005D68EF" w:rsidP="00D557C1">
      <w:pPr>
        <w:pStyle w:val="Normal9pt"/>
        <w:numPr>
          <w:ilvl w:val="0"/>
          <w:numId w:val="0"/>
        </w:numPr>
        <w:rPr>
          <w:rFonts w:ascii="Verdana" w:hAnsi="Verdana"/>
          <w:b/>
          <w:bCs/>
          <w:sz w:val="20"/>
          <w:szCs w:val="20"/>
          <w:lang w:val="es-CO"/>
        </w:rPr>
      </w:pPr>
    </w:p>
    <w:p w14:paraId="72E6C997" w14:textId="64B2B8A3" w:rsidR="00BE3197" w:rsidRPr="00D557C1" w:rsidRDefault="00BE3197" w:rsidP="00D557C1">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CONSIDERACIONES GENERALES</w:t>
      </w:r>
    </w:p>
    <w:p w14:paraId="1AD09B7F" w14:textId="77777777" w:rsidR="00BE3197" w:rsidRDefault="00BE3197" w:rsidP="00D557C1">
      <w:pPr>
        <w:pStyle w:val="Textoindependiente"/>
        <w:rPr>
          <w:rFonts w:ascii="Verdana" w:hAnsi="Verdana"/>
          <w:spacing w:val="0"/>
          <w:sz w:val="20"/>
          <w:szCs w:val="20"/>
          <w:lang w:val="es-CO"/>
        </w:rPr>
      </w:pPr>
    </w:p>
    <w:p w14:paraId="4FEA1181"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w:t>
      </w:r>
      <w:r w:rsidRPr="007C56A4">
        <w:rPr>
          <w:rFonts w:ascii="Verdana" w:hAnsi="Verdana"/>
          <w:spacing w:val="0"/>
          <w:sz w:val="20"/>
          <w:szCs w:val="20"/>
          <w:lang w:val="es-CO"/>
        </w:rPr>
        <w:t>.</w:t>
      </w:r>
    </w:p>
    <w:p w14:paraId="61AE6ECF" w14:textId="77777777" w:rsidR="00BE3197" w:rsidRPr="00D557C1" w:rsidRDefault="00BE3197" w:rsidP="00D557C1">
      <w:pPr>
        <w:pStyle w:val="Textoindependiente"/>
        <w:rPr>
          <w:rFonts w:ascii="Verdana" w:hAnsi="Verdana"/>
          <w:spacing w:val="0"/>
          <w:sz w:val="20"/>
          <w:szCs w:val="20"/>
          <w:lang w:val="es-CO"/>
        </w:rPr>
      </w:pPr>
      <w:r w:rsidRPr="00D557C1">
        <w:rPr>
          <w:rFonts w:ascii="Verdana" w:hAnsi="Verdana"/>
          <w:spacing w:val="0"/>
          <w:sz w:val="20"/>
          <w:szCs w:val="20"/>
          <w:lang w:val="es-CO"/>
        </w:rPr>
        <w:t xml:space="preserve">Este anexo proporciona a los establecimientos de crédito sujetos a la implementación del EPR, los lineamientos sobre la manera de llevar a cabo las pruebas de resistencia requeridas por el supervisor en el marco del EPR, a partir de los escenarios proporcionados por la Superintendencia Financiera de Colombia (SFC). En este marco, las entidades </w:t>
      </w:r>
      <w:r w:rsidR="004E64E9" w:rsidRPr="00D557C1">
        <w:rPr>
          <w:rFonts w:ascii="Verdana" w:hAnsi="Verdana"/>
          <w:spacing w:val="0"/>
          <w:sz w:val="20"/>
          <w:szCs w:val="20"/>
          <w:lang w:val="es-CO"/>
        </w:rPr>
        <w:t>deben desarrollar metodologías y procedimientos para transmitir los escenarios económicos suministrados por la SFC a sus estados financieros y para medir los riesgos a los que están expuest</w:t>
      </w:r>
      <w:r w:rsidR="005C607F" w:rsidRPr="00D557C1">
        <w:rPr>
          <w:rFonts w:ascii="Verdana" w:hAnsi="Verdana"/>
          <w:spacing w:val="0"/>
          <w:sz w:val="20"/>
          <w:szCs w:val="20"/>
          <w:lang w:val="es-CO"/>
        </w:rPr>
        <w:t>a</w:t>
      </w:r>
      <w:r w:rsidR="004E64E9" w:rsidRPr="00D557C1">
        <w:rPr>
          <w:rFonts w:ascii="Verdana" w:hAnsi="Verdana"/>
          <w:spacing w:val="0"/>
          <w:sz w:val="20"/>
          <w:szCs w:val="20"/>
          <w:lang w:val="es-CO"/>
        </w:rPr>
        <w:t>s</w:t>
      </w:r>
      <w:r w:rsidR="00974248" w:rsidRPr="00D557C1">
        <w:rPr>
          <w:rFonts w:ascii="Verdana" w:hAnsi="Verdana"/>
          <w:spacing w:val="0"/>
          <w:sz w:val="20"/>
          <w:szCs w:val="20"/>
          <w:lang w:val="es-CO"/>
        </w:rPr>
        <w:t>.</w:t>
      </w:r>
      <w:r w:rsidR="004E64E9" w:rsidRPr="00D557C1">
        <w:rPr>
          <w:rFonts w:ascii="Verdana" w:hAnsi="Verdana"/>
          <w:spacing w:val="0"/>
          <w:sz w:val="20"/>
          <w:szCs w:val="20"/>
          <w:lang w:val="es-CO"/>
        </w:rPr>
        <w:t xml:space="preserve"> </w:t>
      </w:r>
      <w:r w:rsidR="00974248" w:rsidRPr="00D557C1">
        <w:rPr>
          <w:rFonts w:ascii="Verdana" w:hAnsi="Verdana"/>
          <w:spacing w:val="0"/>
          <w:sz w:val="20"/>
          <w:szCs w:val="20"/>
          <w:lang w:val="es-CO"/>
        </w:rPr>
        <w:t>D</w:t>
      </w:r>
      <w:r w:rsidR="004E64E9" w:rsidRPr="00D557C1">
        <w:rPr>
          <w:rFonts w:ascii="Verdana" w:hAnsi="Verdana"/>
          <w:spacing w:val="0"/>
          <w:sz w:val="20"/>
          <w:szCs w:val="20"/>
          <w:lang w:val="es-CO"/>
        </w:rPr>
        <w:t>ichas metodo</w:t>
      </w:r>
      <w:r w:rsidR="00720062" w:rsidRPr="00D557C1">
        <w:rPr>
          <w:rFonts w:ascii="Verdana" w:hAnsi="Verdana"/>
          <w:spacing w:val="0"/>
          <w:sz w:val="20"/>
          <w:szCs w:val="20"/>
          <w:lang w:val="es-CO"/>
        </w:rPr>
        <w:t>logías deben ser adecuadas y</w:t>
      </w:r>
      <w:r w:rsidR="004E64E9" w:rsidRPr="00D557C1">
        <w:rPr>
          <w:rFonts w:ascii="Verdana" w:hAnsi="Verdana"/>
          <w:spacing w:val="0"/>
          <w:sz w:val="20"/>
          <w:szCs w:val="20"/>
          <w:lang w:val="es-CO"/>
        </w:rPr>
        <w:t xml:space="preserve"> robustas de manera que puedan incorporar las particularidades de sus operaciones</w:t>
      </w:r>
      <w:r w:rsidRPr="00D557C1">
        <w:rPr>
          <w:rFonts w:ascii="Verdana" w:hAnsi="Verdana"/>
          <w:spacing w:val="0"/>
          <w:sz w:val="20"/>
          <w:szCs w:val="20"/>
          <w:lang w:val="es-CO"/>
        </w:rPr>
        <w:t>.</w:t>
      </w:r>
    </w:p>
    <w:p w14:paraId="7BDDD915" w14:textId="77777777" w:rsidR="00F20652" w:rsidRPr="00D557C1" w:rsidRDefault="00F20652" w:rsidP="00D557C1">
      <w:pPr>
        <w:pStyle w:val="Textoindependiente"/>
        <w:rPr>
          <w:rFonts w:ascii="Verdana" w:hAnsi="Verdana"/>
          <w:spacing w:val="0"/>
          <w:sz w:val="20"/>
          <w:szCs w:val="20"/>
          <w:lang w:val="es-CO"/>
        </w:rPr>
      </w:pPr>
    </w:p>
    <w:p w14:paraId="08DDEB53" w14:textId="77777777" w:rsidR="00F20652" w:rsidRPr="00D557C1" w:rsidRDefault="00F20652" w:rsidP="00D557C1">
      <w:pPr>
        <w:pStyle w:val="Textoindependiente"/>
        <w:rPr>
          <w:rFonts w:ascii="Verdana" w:hAnsi="Verdana"/>
          <w:b/>
          <w:bCs/>
          <w:spacing w:val="0"/>
          <w:sz w:val="20"/>
          <w:szCs w:val="20"/>
          <w:lang w:val="es-CO"/>
        </w:rPr>
      </w:pPr>
      <w:r w:rsidRPr="00D557C1">
        <w:rPr>
          <w:rFonts w:ascii="Verdana" w:hAnsi="Verdana"/>
          <w:b/>
          <w:bCs/>
          <w:spacing w:val="0"/>
          <w:sz w:val="20"/>
          <w:szCs w:val="20"/>
          <w:lang w:val="es-CO"/>
        </w:rPr>
        <w:t>ÁMBITO DE APLICACIÓN</w:t>
      </w:r>
    </w:p>
    <w:p w14:paraId="449989D2" w14:textId="77777777" w:rsidR="00F20652" w:rsidRDefault="00F20652" w:rsidP="00D557C1">
      <w:pPr>
        <w:pStyle w:val="Textoindependiente"/>
        <w:rPr>
          <w:rFonts w:ascii="Verdana" w:hAnsi="Verdana"/>
          <w:spacing w:val="0"/>
          <w:sz w:val="20"/>
          <w:szCs w:val="20"/>
          <w:lang w:val="es-CO"/>
        </w:rPr>
      </w:pPr>
    </w:p>
    <w:p w14:paraId="51491FBE"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w:t>
      </w:r>
      <w:r w:rsidRPr="007C56A4">
        <w:rPr>
          <w:rFonts w:ascii="Verdana" w:hAnsi="Verdana"/>
          <w:spacing w:val="0"/>
          <w:sz w:val="20"/>
          <w:szCs w:val="20"/>
          <w:lang w:val="es-CO"/>
        </w:rPr>
        <w:t>.</w:t>
      </w:r>
    </w:p>
    <w:p w14:paraId="7D53AFC9" w14:textId="77777777" w:rsidR="00F20652" w:rsidRPr="00D557C1" w:rsidRDefault="00F20652" w:rsidP="00D557C1">
      <w:pPr>
        <w:pStyle w:val="Textoindependiente"/>
        <w:rPr>
          <w:rFonts w:ascii="Verdana" w:hAnsi="Verdana"/>
          <w:spacing w:val="0"/>
          <w:sz w:val="20"/>
          <w:szCs w:val="20"/>
          <w:lang w:val="es-CO"/>
        </w:rPr>
      </w:pPr>
      <w:r w:rsidRPr="00D557C1">
        <w:rPr>
          <w:rFonts w:ascii="Verdana" w:hAnsi="Verdana"/>
          <w:spacing w:val="0"/>
          <w:sz w:val="20"/>
          <w:szCs w:val="20"/>
          <w:lang w:val="es-CO"/>
        </w:rPr>
        <w:t xml:space="preserve">El presente anexo aplica a los establecimientos bancarios, compañías de financiamiento, </w:t>
      </w:r>
      <w:proofErr w:type="gramStart"/>
      <w:r w:rsidRPr="00D557C1">
        <w:rPr>
          <w:rFonts w:ascii="Verdana" w:hAnsi="Verdana"/>
          <w:spacing w:val="0"/>
          <w:sz w:val="20"/>
          <w:szCs w:val="20"/>
          <w:lang w:val="es-CO"/>
        </w:rPr>
        <w:t>corporaciones financieras y cooperativas financieras</w:t>
      </w:r>
      <w:proofErr w:type="gramEnd"/>
      <w:r w:rsidRPr="00D557C1">
        <w:rPr>
          <w:rFonts w:ascii="Verdana" w:hAnsi="Verdana"/>
          <w:spacing w:val="0"/>
          <w:sz w:val="20"/>
          <w:szCs w:val="20"/>
          <w:lang w:val="es-CO"/>
        </w:rPr>
        <w:t>, salvo cuando se indique de otra forma de conformidad con la siguiente distinción:</w:t>
      </w:r>
    </w:p>
    <w:p w14:paraId="0E8BA437" w14:textId="77777777" w:rsidR="00F20652" w:rsidRPr="00D557C1" w:rsidRDefault="00F20652" w:rsidP="00D557C1">
      <w:pPr>
        <w:pStyle w:val="Textoindependiente"/>
        <w:rPr>
          <w:rFonts w:ascii="Verdana" w:hAnsi="Verdana"/>
          <w:spacing w:val="0"/>
          <w:sz w:val="20"/>
          <w:szCs w:val="20"/>
          <w:lang w:val="es-CO"/>
        </w:rPr>
      </w:pPr>
    </w:p>
    <w:p w14:paraId="1E277E91" w14:textId="77777777" w:rsidR="007C56A4" w:rsidRDefault="00F20652" w:rsidP="00B92F3C">
      <w:pPr>
        <w:pStyle w:val="Textoindependiente"/>
        <w:numPr>
          <w:ilvl w:val="0"/>
          <w:numId w:val="2"/>
        </w:numPr>
        <w:ind w:left="567" w:hanging="567"/>
        <w:rPr>
          <w:rFonts w:ascii="Verdana" w:hAnsi="Verdana"/>
          <w:spacing w:val="0"/>
          <w:sz w:val="20"/>
          <w:szCs w:val="20"/>
          <w:lang w:val="es-ES"/>
        </w:rPr>
      </w:pPr>
      <w:r w:rsidRPr="00D557C1">
        <w:rPr>
          <w:rFonts w:ascii="Verdana" w:hAnsi="Verdana"/>
          <w:spacing w:val="0"/>
          <w:sz w:val="20"/>
          <w:szCs w:val="20"/>
          <w:lang w:val="es-ES"/>
        </w:rPr>
        <w:t>Grupo 1: Se refiere a los establecimientos bancarios</w:t>
      </w:r>
      <w:r w:rsidR="00974248" w:rsidRPr="00D557C1">
        <w:rPr>
          <w:rFonts w:ascii="Verdana" w:hAnsi="Verdana"/>
          <w:spacing w:val="0"/>
          <w:sz w:val="20"/>
          <w:szCs w:val="20"/>
          <w:lang w:val="es-ES"/>
        </w:rPr>
        <w:t xml:space="preserve"> cuyos activos representen el 2</w:t>
      </w:r>
      <w:r w:rsidRPr="00D557C1">
        <w:rPr>
          <w:rFonts w:ascii="Verdana" w:hAnsi="Verdana"/>
          <w:spacing w:val="0"/>
          <w:sz w:val="20"/>
          <w:szCs w:val="20"/>
          <w:lang w:val="es-ES"/>
        </w:rPr>
        <w:t>% o más del total de los activos del sector bancario con corte a 31 de diciembre del año inmediatamente anterior a la realización de las prueba</w:t>
      </w:r>
      <w:r w:rsidR="007C56A4">
        <w:rPr>
          <w:rFonts w:ascii="Verdana" w:hAnsi="Verdana"/>
          <w:spacing w:val="0"/>
          <w:sz w:val="20"/>
          <w:szCs w:val="20"/>
          <w:lang w:val="es-ES"/>
        </w:rPr>
        <w:t>s.</w:t>
      </w:r>
    </w:p>
    <w:p w14:paraId="6C2F3712" w14:textId="77777777" w:rsidR="007C56A4" w:rsidRDefault="007C56A4" w:rsidP="007C56A4">
      <w:pPr>
        <w:pStyle w:val="Textoindependiente"/>
        <w:ind w:left="720"/>
        <w:rPr>
          <w:rFonts w:ascii="Verdana" w:hAnsi="Verdana"/>
          <w:spacing w:val="0"/>
          <w:sz w:val="20"/>
          <w:szCs w:val="20"/>
          <w:lang w:val="es-ES"/>
        </w:rPr>
      </w:pPr>
    </w:p>
    <w:p w14:paraId="6A60A8CB" w14:textId="77777777" w:rsidR="00F20652" w:rsidRPr="007C56A4" w:rsidRDefault="00F20652" w:rsidP="00B92F3C">
      <w:pPr>
        <w:pStyle w:val="Textoindependiente"/>
        <w:numPr>
          <w:ilvl w:val="0"/>
          <w:numId w:val="2"/>
        </w:numPr>
        <w:ind w:left="567" w:hanging="567"/>
        <w:rPr>
          <w:rFonts w:ascii="Verdana" w:hAnsi="Verdana"/>
          <w:spacing w:val="0"/>
          <w:sz w:val="20"/>
          <w:szCs w:val="20"/>
          <w:lang w:val="es-ES"/>
        </w:rPr>
      </w:pPr>
      <w:r w:rsidRPr="007C56A4">
        <w:rPr>
          <w:rFonts w:ascii="Verdana" w:hAnsi="Verdana"/>
          <w:spacing w:val="0"/>
          <w:sz w:val="20"/>
          <w:szCs w:val="20"/>
          <w:lang w:val="es-ES"/>
        </w:rPr>
        <w:t xml:space="preserve">Grupo 2: Se refiere a los establecimientos bancarios cuyos </w:t>
      </w:r>
      <w:r w:rsidR="00974248" w:rsidRPr="007C56A4">
        <w:rPr>
          <w:rFonts w:ascii="Verdana" w:hAnsi="Verdana"/>
          <w:spacing w:val="0"/>
          <w:sz w:val="20"/>
          <w:szCs w:val="20"/>
          <w:lang w:val="es-ES"/>
        </w:rPr>
        <w:t>activos representen menos del 2</w:t>
      </w:r>
      <w:r w:rsidRPr="007C56A4">
        <w:rPr>
          <w:rFonts w:ascii="Verdana" w:hAnsi="Verdana"/>
          <w:spacing w:val="0"/>
          <w:sz w:val="20"/>
          <w:szCs w:val="20"/>
          <w:lang w:val="es-ES"/>
        </w:rPr>
        <w:t>% del total de los activos del sector bancario con corte a 31 de diciembre del año inmediatamente anterior a la realización de la</w:t>
      </w:r>
      <w:r w:rsidR="007A5E65" w:rsidRPr="007C56A4">
        <w:rPr>
          <w:rFonts w:ascii="Verdana" w:hAnsi="Verdana"/>
          <w:spacing w:val="0"/>
          <w:sz w:val="20"/>
          <w:szCs w:val="20"/>
          <w:lang w:val="es-ES"/>
        </w:rPr>
        <w:t>s</w:t>
      </w:r>
      <w:r w:rsidRPr="007C56A4">
        <w:rPr>
          <w:rFonts w:ascii="Verdana" w:hAnsi="Verdana"/>
          <w:spacing w:val="0"/>
          <w:sz w:val="20"/>
          <w:szCs w:val="20"/>
          <w:lang w:val="es-ES"/>
        </w:rPr>
        <w:t xml:space="preserve"> pruebas</w:t>
      </w:r>
      <w:r w:rsidR="007A5E65" w:rsidRPr="007C56A4">
        <w:rPr>
          <w:rFonts w:ascii="Verdana" w:hAnsi="Verdana"/>
          <w:spacing w:val="0"/>
          <w:sz w:val="20"/>
          <w:szCs w:val="20"/>
          <w:lang w:val="es-ES"/>
        </w:rPr>
        <w:t xml:space="preserve">, </w:t>
      </w:r>
      <w:r w:rsidR="00183CE8" w:rsidRPr="007C56A4">
        <w:rPr>
          <w:rFonts w:ascii="Verdana" w:hAnsi="Verdana"/>
          <w:spacing w:val="0"/>
          <w:sz w:val="20"/>
          <w:szCs w:val="20"/>
          <w:lang w:val="es-ES"/>
        </w:rPr>
        <w:t xml:space="preserve">las </w:t>
      </w:r>
      <w:r w:rsidR="007A5E65" w:rsidRPr="007C56A4">
        <w:rPr>
          <w:rFonts w:ascii="Verdana" w:hAnsi="Verdana"/>
          <w:spacing w:val="0"/>
          <w:sz w:val="20"/>
          <w:szCs w:val="20"/>
          <w:lang w:val="es-CO"/>
        </w:rPr>
        <w:t xml:space="preserve">compañías de financiamiento, </w:t>
      </w:r>
      <w:r w:rsidR="00183CE8" w:rsidRPr="007C56A4">
        <w:rPr>
          <w:rFonts w:ascii="Verdana" w:hAnsi="Verdana"/>
          <w:spacing w:val="0"/>
          <w:sz w:val="20"/>
          <w:szCs w:val="20"/>
          <w:lang w:val="es-CO"/>
        </w:rPr>
        <w:t xml:space="preserve">las </w:t>
      </w:r>
      <w:r w:rsidR="007A5E65" w:rsidRPr="007C56A4">
        <w:rPr>
          <w:rFonts w:ascii="Verdana" w:hAnsi="Verdana"/>
          <w:spacing w:val="0"/>
          <w:sz w:val="20"/>
          <w:szCs w:val="20"/>
          <w:lang w:val="es-CO"/>
        </w:rPr>
        <w:t>corporaciones financieras</w:t>
      </w:r>
      <w:r w:rsidR="00313C52" w:rsidRPr="007C56A4">
        <w:rPr>
          <w:rFonts w:ascii="Verdana" w:hAnsi="Verdana"/>
          <w:spacing w:val="0"/>
          <w:sz w:val="20"/>
          <w:szCs w:val="20"/>
          <w:lang w:val="es-CO"/>
        </w:rPr>
        <w:t>,</w:t>
      </w:r>
      <w:r w:rsidR="007A5E65" w:rsidRPr="007C56A4">
        <w:rPr>
          <w:rFonts w:ascii="Verdana" w:hAnsi="Verdana"/>
          <w:spacing w:val="0"/>
          <w:sz w:val="20"/>
          <w:szCs w:val="20"/>
          <w:lang w:val="es-CO"/>
        </w:rPr>
        <w:t xml:space="preserve"> y </w:t>
      </w:r>
      <w:r w:rsidR="00183CE8" w:rsidRPr="007C56A4">
        <w:rPr>
          <w:rFonts w:ascii="Verdana" w:hAnsi="Verdana"/>
          <w:spacing w:val="0"/>
          <w:sz w:val="20"/>
          <w:szCs w:val="20"/>
          <w:lang w:val="es-CO"/>
        </w:rPr>
        <w:t xml:space="preserve">las </w:t>
      </w:r>
      <w:r w:rsidR="007A5E65" w:rsidRPr="007C56A4">
        <w:rPr>
          <w:rFonts w:ascii="Verdana" w:hAnsi="Verdana"/>
          <w:spacing w:val="0"/>
          <w:sz w:val="20"/>
          <w:szCs w:val="20"/>
          <w:lang w:val="es-CO"/>
        </w:rPr>
        <w:t>cooperativas financieras</w:t>
      </w:r>
      <w:r w:rsidRPr="007C56A4">
        <w:rPr>
          <w:rFonts w:ascii="Verdana" w:hAnsi="Verdana"/>
          <w:spacing w:val="0"/>
          <w:sz w:val="20"/>
          <w:szCs w:val="20"/>
          <w:lang w:val="es-ES"/>
        </w:rPr>
        <w:t>.</w:t>
      </w:r>
    </w:p>
    <w:p w14:paraId="19386C4F" w14:textId="77777777" w:rsidR="00BE3197" w:rsidRPr="00D557C1" w:rsidRDefault="00BE3197" w:rsidP="00D557C1">
      <w:pPr>
        <w:pStyle w:val="Textoindependiente"/>
        <w:rPr>
          <w:rFonts w:ascii="Verdana" w:hAnsi="Verdana"/>
          <w:spacing w:val="0"/>
          <w:sz w:val="20"/>
          <w:szCs w:val="20"/>
          <w:lang w:val="es-CO"/>
        </w:rPr>
      </w:pPr>
    </w:p>
    <w:p w14:paraId="249FD024" w14:textId="77777777" w:rsidR="00BE3197" w:rsidRPr="00D557C1" w:rsidRDefault="00BE3197" w:rsidP="00D557C1">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ESCENARIOS PARA LA REALIZACION DE LAS PRUEBAS</w:t>
      </w:r>
    </w:p>
    <w:p w14:paraId="2200CCD2" w14:textId="77777777" w:rsidR="00BE3197" w:rsidRDefault="00BE3197" w:rsidP="00D557C1">
      <w:pPr>
        <w:pStyle w:val="Normal9pt"/>
        <w:numPr>
          <w:ilvl w:val="0"/>
          <w:numId w:val="0"/>
        </w:numPr>
        <w:rPr>
          <w:rFonts w:ascii="Verdana" w:hAnsi="Verdana"/>
          <w:sz w:val="20"/>
          <w:szCs w:val="20"/>
          <w:lang w:val="es-CO"/>
        </w:rPr>
      </w:pPr>
    </w:p>
    <w:p w14:paraId="13BE62AB"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w:t>
      </w:r>
      <w:r w:rsidRPr="007C56A4">
        <w:rPr>
          <w:rFonts w:ascii="Verdana" w:hAnsi="Verdana"/>
          <w:spacing w:val="0"/>
          <w:sz w:val="20"/>
          <w:szCs w:val="20"/>
          <w:lang w:val="es-CO"/>
        </w:rPr>
        <w:t>.</w:t>
      </w:r>
    </w:p>
    <w:p w14:paraId="09DBED73"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efectos de las pruebas requeridas por el supervisor, la SFC suministrará a las entidades dos escenarios </w:t>
      </w:r>
      <w:r w:rsidR="00720062" w:rsidRPr="00D557C1">
        <w:rPr>
          <w:rFonts w:ascii="Verdana" w:hAnsi="Verdana"/>
          <w:sz w:val="20"/>
          <w:szCs w:val="20"/>
          <w:lang w:val="es-CO"/>
        </w:rPr>
        <w:t>con variables económica</w:t>
      </w:r>
      <w:r w:rsidRPr="00D557C1">
        <w:rPr>
          <w:rFonts w:ascii="Verdana" w:hAnsi="Verdana"/>
          <w:sz w:val="20"/>
          <w:szCs w:val="20"/>
          <w:lang w:val="es-CO"/>
        </w:rPr>
        <w:t>s</w:t>
      </w:r>
      <w:r w:rsidR="00202003" w:rsidRPr="00D557C1">
        <w:rPr>
          <w:rFonts w:ascii="Verdana" w:hAnsi="Verdana"/>
          <w:sz w:val="20"/>
          <w:szCs w:val="20"/>
          <w:lang w:val="es-CO"/>
        </w:rPr>
        <w:t xml:space="preserve"> y de mercado</w:t>
      </w:r>
      <w:r w:rsidRPr="00D557C1">
        <w:rPr>
          <w:rFonts w:ascii="Verdana" w:hAnsi="Verdana"/>
          <w:sz w:val="20"/>
          <w:szCs w:val="20"/>
          <w:lang w:val="es-CO"/>
        </w:rPr>
        <w:t>, con el fin de que proyecten con base en ellos sus estados financieros. Al transmitir estos escenarios a sus estados financieros, las entidades pueden necesitar variables adicionales. Los valores estimados y/o proyectados de las variables adicionales utilizadas por los modelos de cada entidad deben ser consistentes con los escenarios suministrados.</w:t>
      </w:r>
    </w:p>
    <w:p w14:paraId="55311883" w14:textId="77777777" w:rsidR="00BE3197" w:rsidRDefault="00BE3197" w:rsidP="00D557C1">
      <w:pPr>
        <w:pStyle w:val="Normal9pt"/>
        <w:numPr>
          <w:ilvl w:val="0"/>
          <w:numId w:val="0"/>
        </w:numPr>
        <w:rPr>
          <w:rFonts w:ascii="Verdana" w:hAnsi="Verdana"/>
          <w:sz w:val="20"/>
          <w:szCs w:val="20"/>
          <w:lang w:val="es-CO"/>
        </w:rPr>
      </w:pPr>
    </w:p>
    <w:p w14:paraId="57863B38"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w:t>
      </w:r>
      <w:r w:rsidRPr="007C56A4">
        <w:rPr>
          <w:rFonts w:ascii="Verdana" w:hAnsi="Verdana"/>
          <w:spacing w:val="0"/>
          <w:sz w:val="20"/>
          <w:szCs w:val="20"/>
          <w:lang w:val="es-CO"/>
        </w:rPr>
        <w:t>.</w:t>
      </w:r>
    </w:p>
    <w:p w14:paraId="539AC72F"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entidades deben reportar las proyecciones realizadas sobre sus estados financieros para los periodos requeridos, de acuerdo con lo establecido en el Formato 527 (Proforma F.1000-138), diseñado para el reporte de información estándar a la SFC. </w:t>
      </w:r>
    </w:p>
    <w:p w14:paraId="73D828DE" w14:textId="77777777" w:rsidR="00BE3197" w:rsidRDefault="00BE3197" w:rsidP="00D557C1">
      <w:pPr>
        <w:pStyle w:val="Normal9pt"/>
        <w:numPr>
          <w:ilvl w:val="0"/>
          <w:numId w:val="0"/>
        </w:numPr>
        <w:rPr>
          <w:rFonts w:ascii="Verdana" w:hAnsi="Verdana"/>
          <w:sz w:val="20"/>
          <w:szCs w:val="20"/>
          <w:lang w:val="es-CO"/>
        </w:rPr>
      </w:pPr>
    </w:p>
    <w:p w14:paraId="46A4C1D6"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5</w:t>
      </w:r>
      <w:r w:rsidRPr="007C56A4">
        <w:rPr>
          <w:rFonts w:ascii="Verdana" w:hAnsi="Verdana"/>
          <w:spacing w:val="0"/>
          <w:sz w:val="20"/>
          <w:szCs w:val="20"/>
          <w:lang w:val="es-CO"/>
        </w:rPr>
        <w:t>.</w:t>
      </w:r>
    </w:p>
    <w:p w14:paraId="39AD0BE1" w14:textId="77777777" w:rsidR="00BE3197"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Con el fin de evaluar el impacto de las pruebas sobre la solvencia, la liquidez y la rentabilidad de las entidades y del sistema financiero, la SFC utilizará, entre otros</w:t>
      </w:r>
      <w:r w:rsidR="00107B98">
        <w:rPr>
          <w:rFonts w:ascii="Verdana" w:hAnsi="Verdana"/>
          <w:sz w:val="20"/>
          <w:szCs w:val="20"/>
          <w:lang w:val="es-CO"/>
        </w:rPr>
        <w:t xml:space="preserve"> los resultados de los siguientes </w:t>
      </w:r>
      <w:r w:rsidRPr="00D557C1">
        <w:rPr>
          <w:rFonts w:ascii="Verdana" w:hAnsi="Verdana"/>
          <w:sz w:val="20"/>
          <w:szCs w:val="20"/>
          <w:lang w:val="es-CO"/>
        </w:rPr>
        <w:t>indicadores:</w:t>
      </w:r>
    </w:p>
    <w:p w14:paraId="3EAD881C" w14:textId="77777777" w:rsidR="00107B98" w:rsidRDefault="00107B98" w:rsidP="00D557C1">
      <w:pPr>
        <w:pStyle w:val="Normal9pt"/>
        <w:numPr>
          <w:ilvl w:val="0"/>
          <w:numId w:val="0"/>
        </w:numPr>
        <w:rPr>
          <w:rFonts w:ascii="Verdana" w:hAnsi="Verdana"/>
          <w:sz w:val="20"/>
          <w:szCs w:val="20"/>
          <w:lang w:val="es-CO"/>
        </w:rPr>
      </w:pPr>
    </w:p>
    <w:p w14:paraId="70B3D2D4" w14:textId="77777777" w:rsidR="00BE3197" w:rsidRDefault="00BE3197" w:rsidP="005D68EF">
      <w:pPr>
        <w:pStyle w:val="Normal9pt"/>
        <w:numPr>
          <w:ilvl w:val="0"/>
          <w:numId w:val="0"/>
        </w:numPr>
        <w:ind w:left="567" w:hanging="567"/>
        <w:rPr>
          <w:rFonts w:ascii="Verdana" w:hAnsi="Verdana"/>
          <w:sz w:val="20"/>
          <w:szCs w:val="20"/>
          <w:lang w:val="es-CO"/>
        </w:rPr>
      </w:pPr>
      <w:r w:rsidRPr="00D557C1">
        <w:rPr>
          <w:rFonts w:ascii="Verdana" w:hAnsi="Verdana"/>
          <w:sz w:val="20"/>
          <w:szCs w:val="20"/>
          <w:lang w:val="es-CO"/>
        </w:rPr>
        <w:lastRenderedPageBreak/>
        <w:t>a.</w:t>
      </w:r>
      <w:r w:rsidRPr="00D557C1">
        <w:rPr>
          <w:rFonts w:ascii="Verdana" w:hAnsi="Verdana"/>
          <w:sz w:val="20"/>
          <w:szCs w:val="20"/>
          <w:lang w:val="es-CO"/>
        </w:rPr>
        <w:tab/>
        <w:t>Solvencia</w:t>
      </w:r>
    </w:p>
    <w:p w14:paraId="24CA0932" w14:textId="77777777" w:rsidR="005D68EF" w:rsidRPr="00D557C1" w:rsidRDefault="005D68EF" w:rsidP="005D68EF">
      <w:pPr>
        <w:pStyle w:val="Normal9pt"/>
        <w:numPr>
          <w:ilvl w:val="0"/>
          <w:numId w:val="0"/>
        </w:numPr>
        <w:ind w:left="567" w:hanging="567"/>
        <w:rPr>
          <w:rFonts w:ascii="Verdana" w:hAnsi="Verdana"/>
          <w:sz w:val="20"/>
          <w:szCs w:val="20"/>
          <w:lang w:val="es-CO"/>
        </w:rPr>
      </w:pPr>
    </w:p>
    <w:p w14:paraId="3DABF598"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w:t>
      </w:r>
      <w:r w:rsidRPr="00D557C1">
        <w:rPr>
          <w:rFonts w:ascii="Verdana" w:hAnsi="Verdana"/>
          <w:sz w:val="20"/>
          <w:szCs w:val="20"/>
          <w:lang w:val="es-CO"/>
        </w:rPr>
        <w:tab/>
        <w:t>Patrimonio técnico</w:t>
      </w:r>
    </w:p>
    <w:p w14:paraId="08F99553"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ii.</w:t>
      </w:r>
      <w:r w:rsidRPr="00D557C1">
        <w:rPr>
          <w:rFonts w:ascii="Verdana" w:hAnsi="Verdana"/>
          <w:sz w:val="20"/>
          <w:szCs w:val="20"/>
          <w:lang w:val="es-CO"/>
        </w:rPr>
        <w:tab/>
        <w:t>Patrimonio básico ordinario</w:t>
      </w:r>
    </w:p>
    <w:p w14:paraId="69E2411B"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iii.</w:t>
      </w:r>
      <w:r w:rsidRPr="00D557C1">
        <w:rPr>
          <w:rFonts w:ascii="Verdana" w:hAnsi="Verdana"/>
          <w:sz w:val="20"/>
          <w:szCs w:val="20"/>
          <w:lang w:val="es-CO"/>
        </w:rPr>
        <w:tab/>
        <w:t>Activos ponderados por riesgo</w:t>
      </w:r>
    </w:p>
    <w:p w14:paraId="27E88C3D"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iv.</w:t>
      </w:r>
      <w:r w:rsidRPr="00D557C1">
        <w:rPr>
          <w:rFonts w:ascii="Verdana" w:hAnsi="Verdana"/>
          <w:sz w:val="20"/>
          <w:szCs w:val="20"/>
          <w:lang w:val="es-CO"/>
        </w:rPr>
        <w:tab/>
        <w:t>Relación de solvencia básica</w:t>
      </w:r>
    </w:p>
    <w:p w14:paraId="1F58DB6D"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v.</w:t>
      </w:r>
      <w:r w:rsidRPr="00D557C1">
        <w:rPr>
          <w:rFonts w:ascii="Verdana" w:hAnsi="Verdana"/>
          <w:sz w:val="20"/>
          <w:szCs w:val="20"/>
          <w:lang w:val="es-CO"/>
        </w:rPr>
        <w:tab/>
        <w:t>Relación de solvencia total</w:t>
      </w:r>
    </w:p>
    <w:p w14:paraId="2EE6A137" w14:textId="77777777" w:rsidR="00BE3197" w:rsidRPr="00D557C1" w:rsidRDefault="00BE3197" w:rsidP="00D557C1">
      <w:pPr>
        <w:pStyle w:val="Normal9pt"/>
        <w:numPr>
          <w:ilvl w:val="0"/>
          <w:numId w:val="0"/>
        </w:numPr>
        <w:ind w:left="720" w:hanging="360"/>
        <w:rPr>
          <w:rFonts w:ascii="Verdana" w:hAnsi="Verdana"/>
          <w:sz w:val="20"/>
          <w:szCs w:val="20"/>
          <w:lang w:val="es-CO"/>
        </w:rPr>
      </w:pPr>
    </w:p>
    <w:p w14:paraId="60C392CB" w14:textId="36EED3C7" w:rsidR="00BE3197" w:rsidRDefault="00BE3197" w:rsidP="005D68EF">
      <w:pPr>
        <w:pStyle w:val="Normal9pt"/>
        <w:numPr>
          <w:ilvl w:val="0"/>
          <w:numId w:val="0"/>
        </w:numPr>
        <w:tabs>
          <w:tab w:val="left" w:pos="708"/>
          <w:tab w:val="left" w:pos="1416"/>
          <w:tab w:val="left" w:pos="1870"/>
        </w:tabs>
        <w:ind w:left="567" w:hanging="567"/>
        <w:rPr>
          <w:rFonts w:ascii="Verdana" w:hAnsi="Verdana"/>
          <w:sz w:val="20"/>
          <w:szCs w:val="20"/>
          <w:lang w:val="es-CO"/>
        </w:rPr>
      </w:pPr>
      <w:r w:rsidRPr="00D557C1">
        <w:rPr>
          <w:rFonts w:ascii="Verdana" w:hAnsi="Verdana"/>
          <w:sz w:val="20"/>
          <w:szCs w:val="20"/>
          <w:lang w:val="es-CO"/>
        </w:rPr>
        <w:t>b.</w:t>
      </w:r>
      <w:r w:rsidRPr="00D557C1">
        <w:rPr>
          <w:rFonts w:ascii="Verdana" w:hAnsi="Verdana"/>
          <w:sz w:val="20"/>
          <w:szCs w:val="20"/>
          <w:lang w:val="es-CO"/>
        </w:rPr>
        <w:tab/>
        <w:t>Liquidez</w:t>
      </w:r>
      <w:r w:rsidR="005D68EF">
        <w:rPr>
          <w:rFonts w:ascii="Verdana" w:hAnsi="Verdana"/>
          <w:sz w:val="20"/>
          <w:szCs w:val="20"/>
          <w:lang w:val="es-CO"/>
        </w:rPr>
        <w:tab/>
      </w:r>
      <w:r w:rsidR="005D68EF">
        <w:rPr>
          <w:rFonts w:ascii="Verdana" w:hAnsi="Verdana"/>
          <w:sz w:val="20"/>
          <w:szCs w:val="20"/>
          <w:lang w:val="es-CO"/>
        </w:rPr>
        <w:tab/>
      </w:r>
    </w:p>
    <w:p w14:paraId="2D9EE575" w14:textId="77777777" w:rsidR="005D68EF" w:rsidRPr="00D557C1" w:rsidRDefault="005D68EF" w:rsidP="005D68EF">
      <w:pPr>
        <w:pStyle w:val="Normal9pt"/>
        <w:numPr>
          <w:ilvl w:val="0"/>
          <w:numId w:val="0"/>
        </w:numPr>
        <w:tabs>
          <w:tab w:val="left" w:pos="708"/>
          <w:tab w:val="left" w:pos="1416"/>
          <w:tab w:val="left" w:pos="1870"/>
        </w:tabs>
        <w:ind w:left="567" w:hanging="567"/>
        <w:rPr>
          <w:rFonts w:ascii="Verdana" w:hAnsi="Verdana"/>
          <w:sz w:val="20"/>
          <w:szCs w:val="20"/>
          <w:lang w:val="es-CO"/>
        </w:rPr>
      </w:pPr>
    </w:p>
    <w:p w14:paraId="49E37174"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w:t>
      </w:r>
      <w:r w:rsidRPr="00D557C1">
        <w:rPr>
          <w:rFonts w:ascii="Verdana" w:hAnsi="Verdana"/>
          <w:sz w:val="20"/>
          <w:szCs w:val="20"/>
          <w:lang w:val="es-CO"/>
        </w:rPr>
        <w:tab/>
        <w:t>Disponible</w:t>
      </w:r>
    </w:p>
    <w:p w14:paraId="358444B6"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ii.</w:t>
      </w:r>
      <w:r w:rsidRPr="00D557C1">
        <w:rPr>
          <w:rFonts w:ascii="Verdana" w:hAnsi="Verdana"/>
          <w:sz w:val="20"/>
          <w:szCs w:val="20"/>
          <w:lang w:val="es-CO"/>
        </w:rPr>
        <w:tab/>
        <w:t>Encaje</w:t>
      </w:r>
    </w:p>
    <w:p w14:paraId="2E4CBE3A"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iii.</w:t>
      </w:r>
      <w:r w:rsidRPr="00D557C1">
        <w:rPr>
          <w:rFonts w:ascii="Verdana" w:hAnsi="Verdana"/>
          <w:sz w:val="20"/>
          <w:szCs w:val="20"/>
          <w:lang w:val="es-CO"/>
        </w:rPr>
        <w:tab/>
        <w:t>Otros activos líquidos</w:t>
      </w:r>
    </w:p>
    <w:p w14:paraId="512A952E"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iv.</w:t>
      </w:r>
      <w:r w:rsidRPr="00D557C1">
        <w:rPr>
          <w:rFonts w:ascii="Verdana" w:hAnsi="Verdana"/>
          <w:sz w:val="20"/>
          <w:szCs w:val="20"/>
          <w:lang w:val="es-CO"/>
        </w:rPr>
        <w:tab/>
        <w:t>Activos líquidos de alta calidad</w:t>
      </w:r>
    </w:p>
    <w:p w14:paraId="69A9E4F1"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v.</w:t>
      </w:r>
      <w:r w:rsidRPr="00D557C1">
        <w:rPr>
          <w:rFonts w:ascii="Verdana" w:hAnsi="Verdana"/>
          <w:sz w:val="20"/>
          <w:szCs w:val="20"/>
          <w:lang w:val="es-CO"/>
        </w:rPr>
        <w:tab/>
        <w:t>Requerimientos de liquidez contractuales</w:t>
      </w:r>
    </w:p>
    <w:p w14:paraId="35C0EC95"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vi.</w:t>
      </w:r>
      <w:r w:rsidRPr="00D557C1">
        <w:rPr>
          <w:rFonts w:ascii="Verdana" w:hAnsi="Verdana"/>
          <w:sz w:val="20"/>
          <w:szCs w:val="20"/>
          <w:lang w:val="es-CO"/>
        </w:rPr>
        <w:tab/>
        <w:t>Requerimientos de liquidez no contractuales</w:t>
      </w:r>
    </w:p>
    <w:p w14:paraId="4540F3B5" w14:textId="77777777" w:rsidR="00BE3197" w:rsidRPr="00D557C1" w:rsidRDefault="00BE3197" w:rsidP="00D557C1">
      <w:pPr>
        <w:pStyle w:val="Normal9pt"/>
        <w:numPr>
          <w:ilvl w:val="0"/>
          <w:numId w:val="0"/>
        </w:numPr>
        <w:ind w:left="720" w:hanging="360"/>
        <w:rPr>
          <w:rFonts w:ascii="Verdana" w:hAnsi="Verdana"/>
          <w:sz w:val="20"/>
          <w:szCs w:val="20"/>
          <w:lang w:val="es-CO"/>
        </w:rPr>
      </w:pPr>
    </w:p>
    <w:p w14:paraId="67D24FF3" w14:textId="77777777" w:rsidR="00BE3197" w:rsidRDefault="00BE3197" w:rsidP="005D68EF">
      <w:pPr>
        <w:pStyle w:val="Normal9pt"/>
        <w:numPr>
          <w:ilvl w:val="0"/>
          <w:numId w:val="0"/>
        </w:numPr>
        <w:ind w:left="567" w:hanging="567"/>
        <w:rPr>
          <w:rFonts w:ascii="Verdana" w:hAnsi="Verdana"/>
          <w:sz w:val="20"/>
          <w:szCs w:val="20"/>
          <w:lang w:val="es-CO"/>
        </w:rPr>
      </w:pPr>
      <w:r w:rsidRPr="00D557C1">
        <w:rPr>
          <w:rFonts w:ascii="Verdana" w:hAnsi="Verdana"/>
          <w:sz w:val="20"/>
          <w:szCs w:val="20"/>
          <w:lang w:val="es-CO"/>
        </w:rPr>
        <w:t>c.</w:t>
      </w:r>
      <w:r w:rsidRPr="00D557C1">
        <w:rPr>
          <w:rFonts w:ascii="Verdana" w:hAnsi="Verdana"/>
          <w:sz w:val="20"/>
          <w:szCs w:val="20"/>
          <w:lang w:val="es-CO"/>
        </w:rPr>
        <w:tab/>
        <w:t>Rentabilidad</w:t>
      </w:r>
    </w:p>
    <w:p w14:paraId="67712AFB" w14:textId="77777777" w:rsidR="005D68EF" w:rsidRPr="00D557C1" w:rsidRDefault="005D68EF" w:rsidP="005D68EF">
      <w:pPr>
        <w:pStyle w:val="Normal9pt"/>
        <w:numPr>
          <w:ilvl w:val="0"/>
          <w:numId w:val="0"/>
        </w:numPr>
        <w:ind w:left="567" w:hanging="567"/>
        <w:rPr>
          <w:rFonts w:ascii="Verdana" w:hAnsi="Verdana"/>
          <w:sz w:val="20"/>
          <w:szCs w:val="20"/>
          <w:lang w:val="es-CO"/>
        </w:rPr>
      </w:pPr>
    </w:p>
    <w:p w14:paraId="0A521E62"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w:t>
      </w:r>
      <w:r w:rsidRPr="00D557C1">
        <w:rPr>
          <w:rFonts w:ascii="Verdana" w:hAnsi="Verdana"/>
          <w:sz w:val="20"/>
          <w:szCs w:val="20"/>
          <w:lang w:val="es-CO"/>
        </w:rPr>
        <w:tab/>
        <w:t>ROA</w:t>
      </w:r>
    </w:p>
    <w:p w14:paraId="0B6447CF" w14:textId="77777777" w:rsidR="00BE3197" w:rsidRPr="00D557C1" w:rsidRDefault="00BE3197" w:rsidP="005D68EF">
      <w:pPr>
        <w:pStyle w:val="Normal9pt"/>
        <w:numPr>
          <w:ilvl w:val="0"/>
          <w:numId w:val="0"/>
        </w:numPr>
        <w:ind w:left="1134" w:hanging="567"/>
        <w:rPr>
          <w:rFonts w:ascii="Verdana" w:hAnsi="Verdana"/>
          <w:sz w:val="20"/>
          <w:szCs w:val="20"/>
          <w:lang w:val="es-CO"/>
        </w:rPr>
      </w:pPr>
      <w:r w:rsidRPr="00D557C1">
        <w:rPr>
          <w:rFonts w:ascii="Verdana" w:hAnsi="Verdana"/>
          <w:sz w:val="20"/>
          <w:szCs w:val="20"/>
          <w:lang w:val="es-CO"/>
        </w:rPr>
        <w:t>ii.</w:t>
      </w:r>
      <w:r w:rsidRPr="00D557C1">
        <w:rPr>
          <w:rFonts w:ascii="Verdana" w:hAnsi="Verdana"/>
          <w:sz w:val="20"/>
          <w:szCs w:val="20"/>
          <w:lang w:val="es-CO"/>
        </w:rPr>
        <w:tab/>
        <w:t>ROE</w:t>
      </w:r>
    </w:p>
    <w:p w14:paraId="21237823" w14:textId="77777777" w:rsidR="00BE3197" w:rsidRPr="00D557C1" w:rsidRDefault="00BE3197" w:rsidP="00D557C1">
      <w:pPr>
        <w:pStyle w:val="Normal9pt"/>
        <w:numPr>
          <w:ilvl w:val="0"/>
          <w:numId w:val="0"/>
        </w:numPr>
        <w:rPr>
          <w:rFonts w:ascii="Verdana" w:hAnsi="Verdana"/>
          <w:sz w:val="20"/>
          <w:szCs w:val="20"/>
          <w:lang w:val="es-CO"/>
        </w:rPr>
      </w:pPr>
    </w:p>
    <w:p w14:paraId="68C4A96F" w14:textId="77777777" w:rsidR="00BE3197" w:rsidRPr="00D557C1" w:rsidRDefault="00BE3197" w:rsidP="00D557C1">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LINEAMIENTOS PARA LA MEDICION DE RIESGOS</w:t>
      </w:r>
    </w:p>
    <w:p w14:paraId="5BA4F58B" w14:textId="77777777" w:rsidR="00BE3197" w:rsidRDefault="00BE3197" w:rsidP="00D557C1">
      <w:pPr>
        <w:pStyle w:val="Normal9pt"/>
        <w:numPr>
          <w:ilvl w:val="0"/>
          <w:numId w:val="0"/>
        </w:numPr>
        <w:rPr>
          <w:rFonts w:ascii="Verdana" w:hAnsi="Verdana"/>
          <w:sz w:val="20"/>
          <w:szCs w:val="20"/>
          <w:lang w:val="es-CO"/>
        </w:rPr>
      </w:pPr>
    </w:p>
    <w:p w14:paraId="626CB6C0"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6</w:t>
      </w:r>
      <w:r w:rsidRPr="007C56A4">
        <w:rPr>
          <w:rFonts w:ascii="Verdana" w:hAnsi="Verdana"/>
          <w:spacing w:val="0"/>
          <w:sz w:val="20"/>
          <w:szCs w:val="20"/>
          <w:lang w:val="es-CO"/>
        </w:rPr>
        <w:t>.</w:t>
      </w:r>
    </w:p>
    <w:p w14:paraId="7FABDB1B"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 fecha de corte de los estados financieros iniciales para la ejecución de las pruebas corresponde al cierre del año inmediatamente anterior al de su realización. A partir de esos estados financieros, las entidades deben hacer las proyecciones con base en los escenarios suministrados por la SFC. Las proyecciones deben incorporar los planes de negocio de las entidades, así como aquellos sobre su capital, liquidez y utilidades.</w:t>
      </w:r>
    </w:p>
    <w:p w14:paraId="7F01A892" w14:textId="77777777" w:rsidR="00BE3197" w:rsidRDefault="00BE3197" w:rsidP="00D557C1">
      <w:pPr>
        <w:pStyle w:val="Normal9pt"/>
        <w:numPr>
          <w:ilvl w:val="0"/>
          <w:numId w:val="0"/>
        </w:numPr>
        <w:rPr>
          <w:rFonts w:ascii="Verdana" w:hAnsi="Verdana"/>
          <w:sz w:val="20"/>
          <w:szCs w:val="20"/>
          <w:lang w:val="es-CO"/>
        </w:rPr>
      </w:pPr>
    </w:p>
    <w:p w14:paraId="7DACDC5A"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7</w:t>
      </w:r>
      <w:r w:rsidRPr="007C56A4">
        <w:rPr>
          <w:rFonts w:ascii="Verdana" w:hAnsi="Verdana"/>
          <w:spacing w:val="0"/>
          <w:sz w:val="20"/>
          <w:szCs w:val="20"/>
          <w:lang w:val="es-CO"/>
        </w:rPr>
        <w:t>.</w:t>
      </w:r>
    </w:p>
    <w:p w14:paraId="6B8E5783"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En el informe cualitativo que remita cada entidad con los resultados de las pruebas de resistencia, se debe justificar la elección de las metodologías y modelos utilizados en la realización de las proyecciones. Con base en esos modelos y metodologías, las entidades deben transmitir los escenarios provistos por la SFC a sus estados financieros y a los indicadores de solvencia, liquidez y rentabilidad establecidas en el Formato 527 (Proforma F.1000-138). Cuando en la evaluación de los resultados del escenario adverso la entidad identifique que la materialización de los riesgos compromete su estabilidad financiera, </w:t>
      </w:r>
      <w:r w:rsidR="00131A14" w:rsidRPr="00D557C1">
        <w:rPr>
          <w:rFonts w:ascii="Verdana" w:hAnsi="Verdana"/>
          <w:sz w:val="20"/>
          <w:szCs w:val="20"/>
          <w:lang w:val="es-CO"/>
        </w:rPr>
        <w:t xml:space="preserve">en términos de solvencia, rentabilidad y/o liquidez, </w:t>
      </w:r>
      <w:r w:rsidRPr="00D557C1">
        <w:rPr>
          <w:rFonts w:ascii="Verdana" w:hAnsi="Verdana"/>
          <w:sz w:val="20"/>
          <w:szCs w:val="20"/>
          <w:lang w:val="es-CO"/>
        </w:rPr>
        <w:t>de tal manera que requiere acciones para mitigarlos, debe hacer una tercera proyección que las incorpore.</w:t>
      </w:r>
    </w:p>
    <w:p w14:paraId="4EC02F4E" w14:textId="77777777" w:rsidR="007C56A4" w:rsidRDefault="007C56A4" w:rsidP="007C56A4">
      <w:pPr>
        <w:jc w:val="both"/>
        <w:rPr>
          <w:rFonts w:ascii="Verdana" w:hAnsi="Verdana"/>
          <w:spacing w:val="0"/>
          <w:sz w:val="20"/>
          <w:szCs w:val="20"/>
          <w:lang w:val="es-CO"/>
        </w:rPr>
      </w:pPr>
    </w:p>
    <w:p w14:paraId="3DE3A0C6" w14:textId="77777777" w:rsidR="007C56A4" w:rsidRPr="007C56A4" w:rsidRDefault="007C56A4" w:rsidP="007C56A4">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8</w:t>
      </w:r>
      <w:r w:rsidRPr="007C56A4">
        <w:rPr>
          <w:rFonts w:ascii="Verdana" w:hAnsi="Verdana"/>
          <w:spacing w:val="0"/>
          <w:sz w:val="20"/>
          <w:szCs w:val="20"/>
          <w:lang w:val="es-CO"/>
        </w:rPr>
        <w:t>.</w:t>
      </w:r>
    </w:p>
    <w:p w14:paraId="609B92CF" w14:textId="77777777" w:rsidR="00D35812" w:rsidRPr="00D557C1" w:rsidRDefault="00D35812"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w:t>
      </w:r>
      <w:r w:rsidR="00873FBD" w:rsidRPr="00D557C1">
        <w:rPr>
          <w:rFonts w:ascii="Verdana" w:hAnsi="Verdana"/>
          <w:sz w:val="20"/>
          <w:szCs w:val="20"/>
          <w:lang w:val="es-CO"/>
        </w:rPr>
        <w:t>la realización de las pruebas</w:t>
      </w:r>
      <w:r w:rsidR="00806054" w:rsidRPr="00D557C1">
        <w:rPr>
          <w:rFonts w:ascii="Verdana" w:hAnsi="Verdana"/>
          <w:sz w:val="20"/>
          <w:szCs w:val="20"/>
          <w:lang w:val="es-CO"/>
        </w:rPr>
        <w:t xml:space="preserve"> </w:t>
      </w:r>
      <w:r w:rsidR="00437D91" w:rsidRPr="00D557C1">
        <w:rPr>
          <w:rFonts w:ascii="Verdana" w:hAnsi="Verdana"/>
          <w:sz w:val="20"/>
          <w:szCs w:val="20"/>
          <w:lang w:val="es-CO"/>
        </w:rPr>
        <w:t>requeridas</w:t>
      </w:r>
      <w:r w:rsidR="00806054" w:rsidRPr="00D557C1">
        <w:rPr>
          <w:rFonts w:ascii="Verdana" w:hAnsi="Verdana"/>
          <w:sz w:val="20"/>
          <w:szCs w:val="20"/>
          <w:lang w:val="es-CO"/>
        </w:rPr>
        <w:t xml:space="preserve"> por el supervisor</w:t>
      </w:r>
      <w:r w:rsidR="00873FBD" w:rsidRPr="00D557C1">
        <w:rPr>
          <w:rFonts w:ascii="Verdana" w:hAnsi="Verdana"/>
          <w:sz w:val="20"/>
          <w:szCs w:val="20"/>
          <w:lang w:val="es-CO"/>
        </w:rPr>
        <w:t>, las entidades pueden</w:t>
      </w:r>
      <w:r w:rsidRPr="00D557C1">
        <w:rPr>
          <w:rFonts w:ascii="Verdana" w:hAnsi="Verdana"/>
          <w:sz w:val="20"/>
          <w:szCs w:val="20"/>
          <w:lang w:val="es-CO"/>
        </w:rPr>
        <w:t xml:space="preserve"> seguir la secuencia ilustrada </w:t>
      </w:r>
      <w:r w:rsidR="00107B98">
        <w:rPr>
          <w:rFonts w:ascii="Verdana" w:hAnsi="Verdana"/>
          <w:sz w:val="20"/>
          <w:szCs w:val="20"/>
          <w:lang w:val="es-CO"/>
        </w:rPr>
        <w:t xml:space="preserve">en la </w:t>
      </w:r>
      <w:r w:rsidR="00922715" w:rsidRPr="00D557C1">
        <w:rPr>
          <w:rFonts w:ascii="Verdana" w:hAnsi="Verdana"/>
          <w:sz w:val="20"/>
          <w:szCs w:val="20"/>
          <w:lang w:val="es-CO"/>
        </w:rPr>
        <w:t>Figura</w:t>
      </w:r>
      <w:r w:rsidRPr="00D557C1">
        <w:rPr>
          <w:rFonts w:ascii="Verdana" w:hAnsi="Verdana"/>
          <w:sz w:val="20"/>
          <w:szCs w:val="20"/>
          <w:lang w:val="es-CO"/>
        </w:rPr>
        <w:t xml:space="preserve"> 1, que resume</w:t>
      </w:r>
      <w:r w:rsidR="00107B98">
        <w:rPr>
          <w:rFonts w:ascii="Verdana" w:hAnsi="Verdana"/>
          <w:sz w:val="20"/>
          <w:szCs w:val="20"/>
          <w:lang w:val="es-CO"/>
        </w:rPr>
        <w:t xml:space="preserve"> las </w:t>
      </w:r>
      <w:r w:rsidRPr="00D557C1">
        <w:rPr>
          <w:rFonts w:ascii="Verdana" w:hAnsi="Verdana"/>
          <w:sz w:val="20"/>
          <w:szCs w:val="20"/>
          <w:lang w:val="es-CO"/>
        </w:rPr>
        <w:t>etapas estilizadas para los dos escenarios provistos por la SFC.</w:t>
      </w:r>
    </w:p>
    <w:p w14:paraId="4B5C08F5" w14:textId="77777777" w:rsidR="00D35812" w:rsidRDefault="00D35812" w:rsidP="00D557C1">
      <w:pPr>
        <w:pStyle w:val="Normal9pt"/>
        <w:numPr>
          <w:ilvl w:val="0"/>
          <w:numId w:val="0"/>
        </w:numPr>
        <w:rPr>
          <w:rFonts w:ascii="Verdana" w:hAnsi="Verdana"/>
          <w:sz w:val="20"/>
          <w:szCs w:val="20"/>
          <w:lang w:val="es-CO"/>
        </w:rPr>
      </w:pPr>
    </w:p>
    <w:p w14:paraId="24D07F37" w14:textId="7D9AC850" w:rsidR="00D35812" w:rsidRDefault="0078064E" w:rsidP="00D557C1">
      <w:pPr>
        <w:pStyle w:val="Normal9pt"/>
        <w:numPr>
          <w:ilvl w:val="0"/>
          <w:numId w:val="0"/>
        </w:numPr>
        <w:jc w:val="center"/>
        <w:rPr>
          <w:rFonts w:ascii="Verdana" w:hAnsi="Verdana"/>
          <w:sz w:val="20"/>
          <w:szCs w:val="20"/>
          <w:lang w:val="es-CO"/>
        </w:rPr>
      </w:pPr>
      <w:r>
        <w:rPr>
          <w:rFonts w:ascii="Verdana" w:hAnsi="Verdana"/>
          <w:sz w:val="20"/>
          <w:szCs w:val="20"/>
          <w:lang w:val="es-CO"/>
        </w:rPr>
        <w:br w:type="page"/>
      </w:r>
      <w:r w:rsidR="00832047" w:rsidRPr="00D557C1">
        <w:rPr>
          <w:rFonts w:ascii="Verdana" w:hAnsi="Verdana"/>
          <w:sz w:val="20"/>
          <w:szCs w:val="20"/>
          <w:lang w:val="es-CO"/>
        </w:rPr>
        <w:lastRenderedPageBreak/>
        <w:t xml:space="preserve">Figura </w:t>
      </w:r>
      <w:r w:rsidR="00D35812" w:rsidRPr="00D557C1">
        <w:rPr>
          <w:rFonts w:ascii="Verdana" w:hAnsi="Verdana"/>
          <w:sz w:val="20"/>
          <w:szCs w:val="20"/>
          <w:lang w:val="es-CO"/>
        </w:rPr>
        <w:t>1. Etapas estilizadas de las pruebas de resistencia</w:t>
      </w:r>
    </w:p>
    <w:p w14:paraId="64F158DA" w14:textId="77777777" w:rsidR="00777143" w:rsidRDefault="00777143" w:rsidP="00D557C1">
      <w:pPr>
        <w:pStyle w:val="Normal9pt"/>
        <w:numPr>
          <w:ilvl w:val="0"/>
          <w:numId w:val="0"/>
        </w:numPr>
        <w:jc w:val="center"/>
        <w:rPr>
          <w:rFonts w:ascii="Verdana" w:hAnsi="Verdana"/>
          <w:sz w:val="20"/>
          <w:szCs w:val="20"/>
          <w:lang w:val="es-CO"/>
        </w:rPr>
      </w:pPr>
    </w:p>
    <w:p w14:paraId="56F086BB" w14:textId="27F16661" w:rsidR="00777143" w:rsidRPr="00D557C1" w:rsidRDefault="00811D51" w:rsidP="00D557C1">
      <w:pPr>
        <w:pStyle w:val="Normal9pt"/>
        <w:numPr>
          <w:ilvl w:val="0"/>
          <w:numId w:val="0"/>
        </w:numPr>
        <w:jc w:val="center"/>
        <w:rPr>
          <w:rFonts w:ascii="Verdana" w:hAnsi="Verdana"/>
          <w:sz w:val="20"/>
          <w:szCs w:val="20"/>
          <w:lang w:val="es-CO"/>
        </w:rPr>
      </w:pPr>
      <w:r>
        <w:pict w14:anchorId="78307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14pt">
            <v:imagedata r:id="rId12" o:title="" cropbottom="5889f" cropleft="378f"/>
          </v:shape>
        </w:pict>
      </w:r>
    </w:p>
    <w:p w14:paraId="6DAD1D25" w14:textId="3CE8990B" w:rsidR="005B4AB8" w:rsidRPr="00D557C1" w:rsidRDefault="005B4AB8" w:rsidP="00D557C1">
      <w:pPr>
        <w:pStyle w:val="Normal9pt"/>
        <w:numPr>
          <w:ilvl w:val="0"/>
          <w:numId w:val="0"/>
        </w:numPr>
        <w:jc w:val="center"/>
        <w:rPr>
          <w:rFonts w:ascii="Verdana" w:hAnsi="Verdana"/>
          <w:sz w:val="20"/>
          <w:szCs w:val="20"/>
          <w:lang w:val="es-CO"/>
        </w:rPr>
      </w:pPr>
    </w:p>
    <w:p w14:paraId="25440F2D" w14:textId="77777777" w:rsidR="00D35812" w:rsidRPr="00D557C1" w:rsidRDefault="00D35812" w:rsidP="00D557C1">
      <w:pPr>
        <w:pStyle w:val="Normal9pt"/>
        <w:numPr>
          <w:ilvl w:val="0"/>
          <w:numId w:val="0"/>
        </w:numPr>
        <w:ind w:firstLine="708"/>
        <w:rPr>
          <w:rFonts w:ascii="Verdana" w:hAnsi="Verdana"/>
          <w:sz w:val="16"/>
          <w:szCs w:val="16"/>
          <w:lang w:val="es-CO"/>
        </w:rPr>
      </w:pPr>
      <w:r w:rsidRPr="00D557C1">
        <w:rPr>
          <w:rFonts w:ascii="Verdana" w:hAnsi="Verdana"/>
          <w:sz w:val="16"/>
          <w:szCs w:val="16"/>
          <w:lang w:val="es-CO"/>
        </w:rPr>
        <w:t>Fuente: SFC con base en</w:t>
      </w:r>
      <w:r w:rsidR="00EE364B" w:rsidRPr="00D557C1">
        <w:rPr>
          <w:rFonts w:ascii="Verdana" w:hAnsi="Verdana"/>
          <w:sz w:val="16"/>
          <w:szCs w:val="16"/>
          <w:lang w:val="es-CO"/>
        </w:rPr>
        <w:t xml:space="preserve"> </w:t>
      </w:r>
      <w:r w:rsidR="002D313A" w:rsidRPr="00D557C1">
        <w:rPr>
          <w:rFonts w:ascii="Verdana" w:hAnsi="Verdana"/>
          <w:sz w:val="16"/>
          <w:szCs w:val="16"/>
          <w:lang w:val="es-CO"/>
        </w:rPr>
        <w:t xml:space="preserve">el esquema empleado por </w:t>
      </w:r>
      <w:r w:rsidR="00437D91" w:rsidRPr="00D557C1">
        <w:rPr>
          <w:rFonts w:ascii="Verdana" w:hAnsi="Verdana"/>
          <w:sz w:val="16"/>
          <w:szCs w:val="16"/>
          <w:lang w:val="es-CO"/>
        </w:rPr>
        <w:t xml:space="preserve">el </w:t>
      </w:r>
      <w:r w:rsidR="00EE364B" w:rsidRPr="00D557C1">
        <w:rPr>
          <w:rFonts w:ascii="Verdana" w:hAnsi="Verdana"/>
          <w:sz w:val="16"/>
          <w:szCs w:val="16"/>
          <w:lang w:val="es-CO"/>
        </w:rPr>
        <w:t>Banco de Inglaterra</w:t>
      </w:r>
      <w:r w:rsidRPr="00D557C1">
        <w:rPr>
          <w:rFonts w:ascii="Verdana" w:hAnsi="Verdana"/>
          <w:sz w:val="16"/>
          <w:szCs w:val="16"/>
          <w:lang w:val="es-CO"/>
        </w:rPr>
        <w:t xml:space="preserve"> (2015) </w:t>
      </w:r>
    </w:p>
    <w:p w14:paraId="3F06F934" w14:textId="77777777" w:rsidR="00340FFE" w:rsidRDefault="00340FFE" w:rsidP="00340FFE">
      <w:pPr>
        <w:jc w:val="both"/>
        <w:rPr>
          <w:rFonts w:ascii="Verdana" w:hAnsi="Verdana"/>
          <w:spacing w:val="0"/>
          <w:sz w:val="20"/>
          <w:szCs w:val="20"/>
          <w:lang w:val="es-CO"/>
        </w:rPr>
      </w:pPr>
    </w:p>
    <w:p w14:paraId="09932127"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9</w:t>
      </w:r>
      <w:r w:rsidRPr="007C56A4">
        <w:rPr>
          <w:rFonts w:ascii="Verdana" w:hAnsi="Verdana"/>
          <w:spacing w:val="0"/>
          <w:sz w:val="20"/>
          <w:szCs w:val="20"/>
          <w:lang w:val="es-CO"/>
        </w:rPr>
        <w:t>.</w:t>
      </w:r>
    </w:p>
    <w:p w14:paraId="6C6B7FCD" w14:textId="77777777" w:rsidR="007A5E65" w:rsidRPr="00D557C1" w:rsidRDefault="00F005DD"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Las entidades</w:t>
      </w:r>
      <w:r w:rsidR="00D35812" w:rsidRPr="00D557C1">
        <w:rPr>
          <w:rFonts w:ascii="Verdana" w:hAnsi="Verdana"/>
          <w:sz w:val="20"/>
          <w:szCs w:val="20"/>
          <w:lang w:val="es-CO"/>
        </w:rPr>
        <w:t xml:space="preserve"> </w:t>
      </w:r>
      <w:r w:rsidR="007A5E65" w:rsidRPr="00D557C1">
        <w:rPr>
          <w:rFonts w:ascii="Verdana" w:hAnsi="Verdana"/>
          <w:sz w:val="20"/>
          <w:szCs w:val="20"/>
          <w:lang w:val="es-CO"/>
        </w:rPr>
        <w:t>del Grupo 1</w:t>
      </w:r>
      <w:r w:rsidR="00D35812" w:rsidRPr="00D557C1">
        <w:rPr>
          <w:rFonts w:ascii="Verdana" w:hAnsi="Verdana"/>
          <w:sz w:val="20"/>
          <w:szCs w:val="20"/>
          <w:lang w:val="es-CO"/>
        </w:rPr>
        <w:t xml:space="preserve"> deben llevar a cabo las pruebas de resistencia evaluando el impacto de los escenarios sobre los riesgos de crédito, de mercado y de liquidez</w:t>
      </w:r>
      <w:r w:rsidR="00497DBB" w:rsidRPr="00D557C1">
        <w:rPr>
          <w:rFonts w:ascii="Verdana" w:hAnsi="Verdana"/>
          <w:sz w:val="20"/>
          <w:szCs w:val="20"/>
          <w:lang w:val="es-CO"/>
        </w:rPr>
        <w:t xml:space="preserve">, </w:t>
      </w:r>
      <w:r w:rsidR="00D35812" w:rsidRPr="00D557C1">
        <w:rPr>
          <w:rFonts w:ascii="Verdana" w:hAnsi="Verdana"/>
          <w:sz w:val="20"/>
          <w:szCs w:val="20"/>
          <w:lang w:val="es-CO"/>
        </w:rPr>
        <w:t xml:space="preserve">en sus </w:t>
      </w:r>
      <w:r w:rsidR="008F7C72" w:rsidRPr="00D557C1">
        <w:rPr>
          <w:rFonts w:ascii="Verdana" w:hAnsi="Verdana"/>
          <w:sz w:val="20"/>
          <w:szCs w:val="20"/>
          <w:lang w:val="es-CO"/>
        </w:rPr>
        <w:t>estados financieros</w:t>
      </w:r>
      <w:r w:rsidR="00D35812" w:rsidRPr="00D557C1">
        <w:rPr>
          <w:rFonts w:ascii="Verdana" w:hAnsi="Verdana"/>
          <w:sz w:val="20"/>
          <w:szCs w:val="20"/>
          <w:lang w:val="es-CO"/>
        </w:rPr>
        <w:t>.</w:t>
      </w:r>
      <w:r w:rsidR="00FA5C11" w:rsidRPr="00D557C1">
        <w:rPr>
          <w:rFonts w:ascii="Verdana" w:hAnsi="Verdana"/>
          <w:sz w:val="20"/>
          <w:szCs w:val="20"/>
          <w:lang w:val="es-CO"/>
        </w:rPr>
        <w:t xml:space="preserve"> </w:t>
      </w:r>
    </w:p>
    <w:p w14:paraId="7312C2DF" w14:textId="77777777" w:rsidR="007A5E65" w:rsidRDefault="007A5E65" w:rsidP="00D557C1">
      <w:pPr>
        <w:pStyle w:val="Normal9pt"/>
        <w:numPr>
          <w:ilvl w:val="0"/>
          <w:numId w:val="0"/>
        </w:numPr>
        <w:rPr>
          <w:rFonts w:ascii="Verdana" w:hAnsi="Verdana"/>
          <w:sz w:val="20"/>
          <w:szCs w:val="20"/>
          <w:lang w:val="es-CO"/>
        </w:rPr>
      </w:pPr>
    </w:p>
    <w:p w14:paraId="31CAD854"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10</w:t>
      </w:r>
      <w:r w:rsidRPr="007C56A4">
        <w:rPr>
          <w:rFonts w:ascii="Verdana" w:hAnsi="Verdana"/>
          <w:spacing w:val="0"/>
          <w:sz w:val="20"/>
          <w:szCs w:val="20"/>
          <w:lang w:val="es-CO"/>
        </w:rPr>
        <w:t>.</w:t>
      </w:r>
    </w:p>
    <w:p w14:paraId="4DD9D6F9" w14:textId="77777777" w:rsidR="004E18CD" w:rsidRPr="00D557C1" w:rsidRDefault="007A5E65"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entidades del Grupo 2 deben identificar su grupo de activos </w:t>
      </w:r>
      <w:r w:rsidR="00661B6D" w:rsidRPr="00D557C1">
        <w:rPr>
          <w:rFonts w:ascii="Verdana" w:hAnsi="Verdana"/>
          <w:sz w:val="20"/>
          <w:szCs w:val="20"/>
          <w:lang w:val="es-CO"/>
        </w:rPr>
        <w:t>significativo</w:t>
      </w:r>
      <w:r w:rsidRPr="00D557C1">
        <w:rPr>
          <w:rFonts w:ascii="Verdana" w:hAnsi="Verdana"/>
          <w:sz w:val="20"/>
          <w:szCs w:val="20"/>
          <w:lang w:val="es-CO"/>
        </w:rPr>
        <w:t xml:space="preserve"> entre: (i) inversiones y operaciones con derivados y (ii) cartera de créditos y operaciones de leasing. Posteriormente, deben </w:t>
      </w:r>
      <w:r w:rsidR="00F34310" w:rsidRPr="00D557C1">
        <w:rPr>
          <w:rFonts w:ascii="Verdana" w:hAnsi="Verdana"/>
          <w:sz w:val="20"/>
          <w:szCs w:val="20"/>
          <w:lang w:val="es-CO"/>
        </w:rPr>
        <w:t>realizar</w:t>
      </w:r>
      <w:r w:rsidRPr="00D557C1">
        <w:rPr>
          <w:rFonts w:ascii="Verdana" w:hAnsi="Verdana"/>
          <w:sz w:val="20"/>
          <w:szCs w:val="20"/>
          <w:lang w:val="es-CO"/>
        </w:rPr>
        <w:t xml:space="preserve"> la evaluación del impacto de los escenarios sobre el riesgo que corresponda </w:t>
      </w:r>
      <w:r w:rsidR="00B67472" w:rsidRPr="00D557C1">
        <w:rPr>
          <w:rFonts w:ascii="Verdana" w:hAnsi="Verdana"/>
          <w:sz w:val="20"/>
          <w:szCs w:val="20"/>
          <w:lang w:val="es-CO"/>
        </w:rPr>
        <w:t>al</w:t>
      </w:r>
      <w:r w:rsidRPr="00D557C1">
        <w:rPr>
          <w:rFonts w:ascii="Verdana" w:hAnsi="Verdana"/>
          <w:sz w:val="20"/>
          <w:szCs w:val="20"/>
          <w:lang w:val="es-CO"/>
        </w:rPr>
        <w:t xml:space="preserve"> grupo de activos </w:t>
      </w:r>
      <w:r w:rsidR="00E714CE" w:rsidRPr="00D557C1">
        <w:rPr>
          <w:rFonts w:ascii="Verdana" w:hAnsi="Verdana"/>
          <w:sz w:val="20"/>
          <w:szCs w:val="20"/>
          <w:lang w:val="es-CO"/>
        </w:rPr>
        <w:t>significativo</w:t>
      </w:r>
      <w:r w:rsidRPr="00D557C1">
        <w:rPr>
          <w:rFonts w:ascii="Verdana" w:hAnsi="Verdana"/>
          <w:sz w:val="20"/>
          <w:szCs w:val="20"/>
          <w:lang w:val="es-CO"/>
        </w:rPr>
        <w:t>, entre riesgo de mercado y de crédito.</w:t>
      </w:r>
      <w:r w:rsidR="00E714CE" w:rsidRPr="00D557C1">
        <w:rPr>
          <w:rFonts w:ascii="Verdana" w:hAnsi="Verdana"/>
          <w:sz w:val="20"/>
          <w:szCs w:val="20"/>
          <w:lang w:val="es-CO"/>
        </w:rPr>
        <w:t xml:space="preserve"> </w:t>
      </w:r>
      <w:r w:rsidR="00B67472" w:rsidRPr="00D557C1">
        <w:rPr>
          <w:rFonts w:ascii="Verdana" w:hAnsi="Verdana"/>
          <w:sz w:val="20"/>
          <w:szCs w:val="20"/>
          <w:lang w:val="es-CO"/>
        </w:rPr>
        <w:t>Una entidad puede tener uno o los dos grupos de activos significativos.</w:t>
      </w:r>
    </w:p>
    <w:p w14:paraId="3918DABC" w14:textId="77777777" w:rsidR="004E18CD" w:rsidRDefault="004E18CD" w:rsidP="00D557C1">
      <w:pPr>
        <w:pStyle w:val="Normal9pt"/>
        <w:numPr>
          <w:ilvl w:val="0"/>
          <w:numId w:val="0"/>
        </w:numPr>
        <w:rPr>
          <w:rFonts w:ascii="Verdana" w:hAnsi="Verdana"/>
          <w:sz w:val="20"/>
          <w:szCs w:val="20"/>
          <w:lang w:val="es-CO"/>
        </w:rPr>
      </w:pPr>
    </w:p>
    <w:p w14:paraId="098C34B1"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11</w:t>
      </w:r>
      <w:r w:rsidRPr="007C56A4">
        <w:rPr>
          <w:rFonts w:ascii="Verdana" w:hAnsi="Verdana"/>
          <w:spacing w:val="0"/>
          <w:sz w:val="20"/>
          <w:szCs w:val="20"/>
          <w:lang w:val="es-CO"/>
        </w:rPr>
        <w:t>.</w:t>
      </w:r>
    </w:p>
    <w:p w14:paraId="62CE2E55" w14:textId="77777777" w:rsidR="007A5E65" w:rsidRPr="00D557C1" w:rsidRDefault="00E714CE" w:rsidP="00D557C1">
      <w:pPr>
        <w:pStyle w:val="Normal9pt"/>
        <w:numPr>
          <w:ilvl w:val="0"/>
          <w:numId w:val="0"/>
        </w:numPr>
        <w:rPr>
          <w:rFonts w:ascii="Verdana" w:hAnsi="Verdana"/>
          <w:sz w:val="20"/>
          <w:szCs w:val="20"/>
          <w:lang w:val="es-CO"/>
        </w:rPr>
      </w:pPr>
      <w:r w:rsidRPr="00D557C1">
        <w:rPr>
          <w:rFonts w:ascii="Verdana" w:hAnsi="Verdana"/>
          <w:sz w:val="20"/>
          <w:szCs w:val="20"/>
          <w:lang w:val="es-CO"/>
        </w:rPr>
        <w:t>El grupo de activos significativo es la línea o unidad de negocio que es fundamental para que la entidad lleve a cabo su modelo de negocios y para que alcance sus objetivos principales. Para la identificación del grupo de activos significativo, la entidad debe utilizar elementos cuantitativos y cualitativos entre los que pueden estar el plan de negocios, la estructura organizacional de la entidad y la importancia estratégic</w:t>
      </w:r>
      <w:r w:rsidR="004E18CD" w:rsidRPr="00D557C1">
        <w:rPr>
          <w:rFonts w:ascii="Verdana" w:hAnsi="Verdana"/>
          <w:sz w:val="20"/>
          <w:szCs w:val="20"/>
          <w:lang w:val="es-CO"/>
        </w:rPr>
        <w:t>a de la actividad</w:t>
      </w:r>
      <w:r w:rsidR="00007115" w:rsidRPr="00D557C1">
        <w:rPr>
          <w:rFonts w:ascii="Verdana" w:hAnsi="Verdana"/>
          <w:sz w:val="20"/>
          <w:szCs w:val="20"/>
          <w:lang w:val="es-CO"/>
        </w:rPr>
        <w:t>, y dicha identificación debe justificarse en el informe cualitativo</w:t>
      </w:r>
      <w:r w:rsidR="004E18CD" w:rsidRPr="00D557C1">
        <w:rPr>
          <w:rFonts w:ascii="Verdana" w:hAnsi="Verdana"/>
          <w:sz w:val="20"/>
          <w:szCs w:val="20"/>
          <w:lang w:val="es-CO"/>
        </w:rPr>
        <w:t>.</w:t>
      </w:r>
    </w:p>
    <w:p w14:paraId="1AD47063" w14:textId="77777777" w:rsidR="007A5E65" w:rsidRDefault="007A5E65" w:rsidP="00D557C1">
      <w:pPr>
        <w:pStyle w:val="Normal9pt"/>
        <w:numPr>
          <w:ilvl w:val="0"/>
          <w:numId w:val="0"/>
        </w:numPr>
        <w:rPr>
          <w:rFonts w:ascii="Verdana" w:hAnsi="Verdana"/>
          <w:sz w:val="20"/>
          <w:szCs w:val="20"/>
          <w:lang w:val="es-CO"/>
        </w:rPr>
      </w:pPr>
    </w:p>
    <w:p w14:paraId="62E842F4"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12</w:t>
      </w:r>
      <w:r w:rsidRPr="007C56A4">
        <w:rPr>
          <w:rFonts w:ascii="Verdana" w:hAnsi="Verdana"/>
          <w:spacing w:val="0"/>
          <w:sz w:val="20"/>
          <w:szCs w:val="20"/>
          <w:lang w:val="es-CO"/>
        </w:rPr>
        <w:t>.</w:t>
      </w:r>
    </w:p>
    <w:p w14:paraId="035D854D" w14:textId="77777777" w:rsidR="007A5E65" w:rsidRPr="00D557C1" w:rsidRDefault="004B0BB6"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 prueba de resistencia sobre el riesgo de liquidez</w:t>
      </w:r>
      <w:r w:rsidR="00FA5C11" w:rsidRPr="00D557C1">
        <w:rPr>
          <w:rFonts w:ascii="Verdana" w:hAnsi="Verdana"/>
          <w:sz w:val="20"/>
          <w:szCs w:val="20"/>
          <w:lang w:val="es-CO"/>
        </w:rPr>
        <w:t xml:space="preserve"> </w:t>
      </w:r>
      <w:r w:rsidR="00B56954" w:rsidRPr="00D557C1">
        <w:rPr>
          <w:rFonts w:ascii="Verdana" w:hAnsi="Verdana"/>
          <w:sz w:val="20"/>
          <w:szCs w:val="20"/>
          <w:lang w:val="es-CO"/>
        </w:rPr>
        <w:t xml:space="preserve">la deben realizar las entidades de </w:t>
      </w:r>
      <w:r w:rsidR="00107B98">
        <w:rPr>
          <w:rFonts w:ascii="Verdana" w:hAnsi="Verdana"/>
          <w:sz w:val="20"/>
          <w:szCs w:val="20"/>
          <w:lang w:val="es-CO"/>
        </w:rPr>
        <w:t xml:space="preserve"> los grupos </w:t>
      </w:r>
      <w:r w:rsidR="00B56954" w:rsidRPr="00D557C1">
        <w:rPr>
          <w:rFonts w:ascii="Verdana" w:hAnsi="Verdana"/>
          <w:sz w:val="20"/>
          <w:szCs w:val="20"/>
          <w:lang w:val="es-CO"/>
        </w:rPr>
        <w:t xml:space="preserve">Grupo 1 y Grupo 2 y </w:t>
      </w:r>
      <w:r w:rsidR="000B15B1" w:rsidRPr="00D557C1">
        <w:rPr>
          <w:rFonts w:ascii="Verdana" w:hAnsi="Verdana"/>
          <w:sz w:val="20"/>
          <w:szCs w:val="20"/>
          <w:lang w:val="es-CO"/>
        </w:rPr>
        <w:t>debe</w:t>
      </w:r>
      <w:r w:rsidR="00595B0A" w:rsidRPr="00D557C1">
        <w:rPr>
          <w:rFonts w:ascii="Verdana" w:hAnsi="Verdana"/>
          <w:sz w:val="20"/>
          <w:szCs w:val="20"/>
          <w:lang w:val="es-CO"/>
        </w:rPr>
        <w:t>n</w:t>
      </w:r>
      <w:r w:rsidR="000B15B1" w:rsidRPr="00D557C1">
        <w:rPr>
          <w:rFonts w:ascii="Verdana" w:hAnsi="Verdana"/>
          <w:sz w:val="20"/>
          <w:szCs w:val="20"/>
          <w:lang w:val="es-CO"/>
        </w:rPr>
        <w:t xml:space="preserve"> ser consistente</w:t>
      </w:r>
      <w:r w:rsidR="00595B0A" w:rsidRPr="00D557C1">
        <w:rPr>
          <w:rFonts w:ascii="Verdana" w:hAnsi="Verdana"/>
          <w:sz w:val="20"/>
          <w:szCs w:val="20"/>
          <w:lang w:val="es-CO"/>
        </w:rPr>
        <w:t>s</w:t>
      </w:r>
      <w:r w:rsidR="000B15B1" w:rsidRPr="00D557C1">
        <w:rPr>
          <w:rFonts w:ascii="Verdana" w:hAnsi="Verdana"/>
          <w:sz w:val="20"/>
          <w:szCs w:val="20"/>
          <w:lang w:val="es-CO"/>
        </w:rPr>
        <w:t xml:space="preserve"> con e</w:t>
      </w:r>
      <w:r w:rsidR="004F3720" w:rsidRPr="00D557C1">
        <w:rPr>
          <w:rFonts w:ascii="Verdana" w:hAnsi="Verdana"/>
          <w:sz w:val="20"/>
          <w:szCs w:val="20"/>
          <w:lang w:val="es-CO"/>
        </w:rPr>
        <w:t xml:space="preserve">l impacto </w:t>
      </w:r>
      <w:r w:rsidR="005C47CD" w:rsidRPr="00D557C1">
        <w:rPr>
          <w:rFonts w:ascii="Verdana" w:hAnsi="Verdana"/>
          <w:sz w:val="20"/>
          <w:szCs w:val="20"/>
          <w:lang w:val="es-CO"/>
        </w:rPr>
        <w:t>de las pruebas</w:t>
      </w:r>
      <w:r w:rsidR="004F3720" w:rsidRPr="00D557C1">
        <w:rPr>
          <w:rFonts w:ascii="Verdana" w:hAnsi="Verdana"/>
          <w:sz w:val="20"/>
          <w:szCs w:val="20"/>
          <w:lang w:val="es-CO"/>
        </w:rPr>
        <w:t xml:space="preserve"> sobre los riesgos de crédito y</w:t>
      </w:r>
      <w:r w:rsidR="00B56954" w:rsidRPr="00D557C1">
        <w:rPr>
          <w:rFonts w:ascii="Verdana" w:hAnsi="Verdana"/>
          <w:sz w:val="20"/>
          <w:szCs w:val="20"/>
          <w:lang w:val="es-CO"/>
        </w:rPr>
        <w:t>/o</w:t>
      </w:r>
      <w:r w:rsidR="004F3720" w:rsidRPr="00D557C1">
        <w:rPr>
          <w:rFonts w:ascii="Verdana" w:hAnsi="Verdana"/>
          <w:sz w:val="20"/>
          <w:szCs w:val="20"/>
          <w:lang w:val="es-CO"/>
        </w:rPr>
        <w:t xml:space="preserve"> de mercado.</w:t>
      </w:r>
    </w:p>
    <w:p w14:paraId="35CF9BB6" w14:textId="77777777" w:rsidR="007A5E65" w:rsidRDefault="007A5E65" w:rsidP="00D557C1">
      <w:pPr>
        <w:pStyle w:val="Normal9pt"/>
        <w:numPr>
          <w:ilvl w:val="0"/>
          <w:numId w:val="0"/>
        </w:numPr>
        <w:rPr>
          <w:rFonts w:ascii="Verdana" w:hAnsi="Verdana"/>
          <w:sz w:val="20"/>
          <w:szCs w:val="20"/>
          <w:lang w:val="es-CO"/>
        </w:rPr>
      </w:pPr>
    </w:p>
    <w:p w14:paraId="78956C8E"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13</w:t>
      </w:r>
      <w:r w:rsidRPr="007C56A4">
        <w:rPr>
          <w:rFonts w:ascii="Verdana" w:hAnsi="Verdana"/>
          <w:spacing w:val="0"/>
          <w:sz w:val="20"/>
          <w:szCs w:val="20"/>
          <w:lang w:val="es-CO"/>
        </w:rPr>
        <w:t>.</w:t>
      </w:r>
    </w:p>
    <w:p w14:paraId="177282D1" w14:textId="77777777" w:rsidR="00EF187D" w:rsidRPr="00D557C1" w:rsidRDefault="00D35812"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la realización de las pruebas </w:t>
      </w:r>
      <w:r w:rsidR="008A68C9" w:rsidRPr="00D557C1">
        <w:rPr>
          <w:rFonts w:ascii="Verdana" w:hAnsi="Verdana"/>
          <w:sz w:val="20"/>
          <w:szCs w:val="20"/>
          <w:lang w:val="es-CO"/>
        </w:rPr>
        <w:t xml:space="preserve">la estructura </w:t>
      </w:r>
      <w:r w:rsidR="001C7B02" w:rsidRPr="00D557C1">
        <w:rPr>
          <w:rFonts w:ascii="Verdana" w:hAnsi="Verdana"/>
          <w:sz w:val="20"/>
          <w:szCs w:val="20"/>
          <w:lang w:val="es-CO"/>
        </w:rPr>
        <w:t>de los estados financieros</w:t>
      </w:r>
      <w:r w:rsidR="008A68C9" w:rsidRPr="00D557C1">
        <w:rPr>
          <w:rFonts w:ascii="Verdana" w:hAnsi="Verdana"/>
          <w:sz w:val="20"/>
          <w:szCs w:val="20"/>
          <w:lang w:val="es-CO"/>
        </w:rPr>
        <w:t xml:space="preserve"> no debe cambiar de manera sustancial</w:t>
      </w:r>
      <w:r w:rsidR="00B01946" w:rsidRPr="00D557C1">
        <w:rPr>
          <w:rFonts w:ascii="Verdana" w:hAnsi="Verdana"/>
          <w:sz w:val="20"/>
          <w:szCs w:val="20"/>
          <w:lang w:val="es-CO"/>
        </w:rPr>
        <w:t xml:space="preserve"> en el h</w:t>
      </w:r>
      <w:r w:rsidR="00437D91" w:rsidRPr="00D557C1">
        <w:rPr>
          <w:rFonts w:ascii="Verdana" w:hAnsi="Verdana"/>
          <w:sz w:val="20"/>
          <w:szCs w:val="20"/>
          <w:lang w:val="es-CO"/>
        </w:rPr>
        <w:t>orizonte temporal del ejercicio</w:t>
      </w:r>
      <w:r w:rsidR="002D187A" w:rsidRPr="00D557C1">
        <w:rPr>
          <w:rFonts w:ascii="Verdana" w:hAnsi="Verdana"/>
          <w:sz w:val="20"/>
          <w:szCs w:val="20"/>
          <w:lang w:val="es-CO"/>
        </w:rPr>
        <w:t>, de manera que s</w:t>
      </w:r>
      <w:r w:rsidR="00B01946" w:rsidRPr="00D557C1">
        <w:rPr>
          <w:rFonts w:ascii="Verdana" w:hAnsi="Verdana"/>
          <w:sz w:val="20"/>
          <w:szCs w:val="20"/>
          <w:lang w:val="es-CO"/>
        </w:rPr>
        <w:t>ólo podrá</w:t>
      </w:r>
      <w:r w:rsidR="002D187A" w:rsidRPr="00D557C1">
        <w:rPr>
          <w:rFonts w:ascii="Verdana" w:hAnsi="Verdana"/>
          <w:sz w:val="20"/>
          <w:szCs w:val="20"/>
          <w:lang w:val="es-CO"/>
        </w:rPr>
        <w:t>n</w:t>
      </w:r>
      <w:r w:rsidR="00B01946" w:rsidRPr="00D557C1">
        <w:rPr>
          <w:rFonts w:ascii="Verdana" w:hAnsi="Verdana"/>
          <w:sz w:val="20"/>
          <w:szCs w:val="20"/>
          <w:lang w:val="es-CO"/>
        </w:rPr>
        <w:t xml:space="preserve"> incorporar </w:t>
      </w:r>
      <w:r w:rsidR="002D187A" w:rsidRPr="00D557C1">
        <w:rPr>
          <w:rFonts w:ascii="Verdana" w:hAnsi="Verdana"/>
          <w:sz w:val="20"/>
          <w:szCs w:val="20"/>
          <w:lang w:val="es-CO"/>
        </w:rPr>
        <w:t xml:space="preserve">los </w:t>
      </w:r>
      <w:r w:rsidR="00B01946" w:rsidRPr="00D557C1">
        <w:rPr>
          <w:rFonts w:ascii="Verdana" w:hAnsi="Verdana"/>
          <w:sz w:val="20"/>
          <w:szCs w:val="20"/>
          <w:lang w:val="es-CO"/>
        </w:rPr>
        <w:t xml:space="preserve">cambios que resulten de la implementación del plan de negocio. </w:t>
      </w:r>
      <w:r w:rsidR="008A68C9" w:rsidRPr="00D557C1">
        <w:rPr>
          <w:rFonts w:ascii="Verdana" w:hAnsi="Verdana"/>
          <w:sz w:val="20"/>
          <w:szCs w:val="20"/>
          <w:lang w:val="es-CO"/>
        </w:rPr>
        <w:t>Por tanto</w:t>
      </w:r>
      <w:r w:rsidRPr="00D557C1">
        <w:rPr>
          <w:rFonts w:ascii="Verdana" w:hAnsi="Verdana"/>
          <w:sz w:val="20"/>
          <w:szCs w:val="20"/>
          <w:lang w:val="es-CO"/>
        </w:rPr>
        <w:t xml:space="preserve">, en los ejercicios </w:t>
      </w:r>
      <w:r w:rsidR="00B01946" w:rsidRPr="00D557C1">
        <w:rPr>
          <w:rFonts w:ascii="Verdana" w:hAnsi="Verdana"/>
          <w:sz w:val="20"/>
          <w:szCs w:val="20"/>
          <w:lang w:val="es-CO"/>
        </w:rPr>
        <w:t xml:space="preserve">se </w:t>
      </w:r>
      <w:r w:rsidRPr="00D557C1">
        <w:rPr>
          <w:rFonts w:ascii="Verdana" w:hAnsi="Verdana"/>
          <w:sz w:val="20"/>
          <w:szCs w:val="20"/>
          <w:lang w:val="es-CO"/>
        </w:rPr>
        <w:t>deben r</w:t>
      </w:r>
      <w:r w:rsidR="00F005DD" w:rsidRPr="00D557C1">
        <w:rPr>
          <w:rFonts w:ascii="Verdana" w:hAnsi="Verdana"/>
          <w:sz w:val="20"/>
          <w:szCs w:val="20"/>
          <w:lang w:val="es-CO"/>
        </w:rPr>
        <w:t>e</w:t>
      </w:r>
      <w:r w:rsidRPr="00D557C1">
        <w:rPr>
          <w:rFonts w:ascii="Verdana" w:hAnsi="Verdana"/>
          <w:sz w:val="20"/>
          <w:szCs w:val="20"/>
          <w:lang w:val="es-CO"/>
        </w:rPr>
        <w:t xml:space="preserve">emplazar los activos y pasivos que vencen en </w:t>
      </w:r>
      <w:r w:rsidR="008A68C9" w:rsidRPr="00D557C1">
        <w:rPr>
          <w:rFonts w:ascii="Verdana" w:hAnsi="Verdana"/>
          <w:sz w:val="20"/>
          <w:szCs w:val="20"/>
          <w:lang w:val="es-CO"/>
        </w:rPr>
        <w:t xml:space="preserve">el </w:t>
      </w:r>
      <w:r w:rsidR="008A68C9" w:rsidRPr="00D557C1">
        <w:rPr>
          <w:rFonts w:ascii="Verdana" w:hAnsi="Verdana"/>
          <w:sz w:val="20"/>
          <w:szCs w:val="20"/>
          <w:lang w:val="es-CO"/>
        </w:rPr>
        <w:lastRenderedPageBreak/>
        <w:t>periodo de proyección</w:t>
      </w:r>
      <w:r w:rsidRPr="00D557C1">
        <w:rPr>
          <w:rFonts w:ascii="Verdana" w:hAnsi="Verdana"/>
          <w:sz w:val="20"/>
          <w:szCs w:val="20"/>
          <w:lang w:val="es-CO"/>
        </w:rPr>
        <w:t xml:space="preserve"> </w:t>
      </w:r>
      <w:r w:rsidR="00D736B3" w:rsidRPr="00D557C1">
        <w:rPr>
          <w:rFonts w:ascii="Verdana" w:hAnsi="Verdana"/>
          <w:sz w:val="20"/>
          <w:szCs w:val="20"/>
          <w:lang w:val="es-CO"/>
        </w:rPr>
        <w:t>por instrumentos financieros del mismo tipo y maduración que tenían en el año base de realización de las pruebas</w:t>
      </w:r>
      <w:r w:rsidR="00202003" w:rsidRPr="00D557C1">
        <w:rPr>
          <w:rFonts w:ascii="Verdana" w:hAnsi="Verdana"/>
          <w:sz w:val="20"/>
          <w:szCs w:val="20"/>
          <w:lang w:val="es-CO"/>
        </w:rPr>
        <w:t xml:space="preserve">, </w:t>
      </w:r>
      <w:r w:rsidR="00A3255F" w:rsidRPr="00D557C1">
        <w:rPr>
          <w:rFonts w:ascii="Verdana" w:hAnsi="Verdana"/>
          <w:sz w:val="20"/>
          <w:szCs w:val="20"/>
          <w:lang w:val="es-CO"/>
        </w:rPr>
        <w:t>teniendo en cuenta</w:t>
      </w:r>
      <w:r w:rsidR="000B15B1" w:rsidRPr="00D557C1">
        <w:rPr>
          <w:rFonts w:ascii="Verdana" w:hAnsi="Verdana"/>
          <w:sz w:val="20"/>
          <w:szCs w:val="20"/>
          <w:lang w:val="es-CO"/>
        </w:rPr>
        <w:t xml:space="preserve"> las condiciones de mercado según</w:t>
      </w:r>
      <w:r w:rsidR="00202003" w:rsidRPr="00D557C1">
        <w:rPr>
          <w:rFonts w:ascii="Verdana" w:hAnsi="Verdana"/>
          <w:sz w:val="20"/>
          <w:szCs w:val="20"/>
          <w:lang w:val="es-CO"/>
        </w:rPr>
        <w:t xml:space="preserve"> los correspondientes choques provistos por la SFC</w:t>
      </w:r>
      <w:r w:rsidRPr="00D557C1">
        <w:rPr>
          <w:rFonts w:ascii="Verdana" w:hAnsi="Verdana"/>
          <w:sz w:val="20"/>
          <w:szCs w:val="20"/>
          <w:lang w:val="es-CO"/>
        </w:rPr>
        <w:t xml:space="preserve">. No se deben </w:t>
      </w:r>
      <w:r w:rsidR="00F2004F" w:rsidRPr="00D557C1">
        <w:rPr>
          <w:rFonts w:ascii="Verdana" w:hAnsi="Verdana"/>
          <w:sz w:val="20"/>
          <w:szCs w:val="20"/>
          <w:lang w:val="es-CO"/>
        </w:rPr>
        <w:t xml:space="preserve">dar de baja </w:t>
      </w:r>
      <w:r w:rsidRPr="00D557C1">
        <w:rPr>
          <w:rFonts w:ascii="Verdana" w:hAnsi="Verdana"/>
          <w:sz w:val="20"/>
          <w:szCs w:val="20"/>
          <w:lang w:val="es-CO"/>
        </w:rPr>
        <w:t xml:space="preserve">los activos incumplidos. También </w:t>
      </w:r>
      <w:r w:rsidR="00D526FC" w:rsidRPr="00D557C1">
        <w:rPr>
          <w:rFonts w:ascii="Verdana" w:hAnsi="Verdana"/>
          <w:sz w:val="20"/>
          <w:szCs w:val="20"/>
          <w:lang w:val="es-CO"/>
        </w:rPr>
        <w:t>se debe</w:t>
      </w:r>
      <w:r w:rsidRPr="00D557C1">
        <w:rPr>
          <w:rFonts w:ascii="Verdana" w:hAnsi="Verdana"/>
          <w:sz w:val="20"/>
          <w:szCs w:val="20"/>
          <w:lang w:val="es-CO"/>
        </w:rPr>
        <w:t xml:space="preserve"> suponer que en ese período </w:t>
      </w:r>
      <w:r w:rsidR="005E18E3" w:rsidRPr="00D557C1">
        <w:rPr>
          <w:rFonts w:ascii="Verdana" w:hAnsi="Verdana"/>
          <w:sz w:val="20"/>
          <w:szCs w:val="20"/>
          <w:lang w:val="es-CO"/>
        </w:rPr>
        <w:t xml:space="preserve">las </w:t>
      </w:r>
      <w:r w:rsidR="0017352B" w:rsidRPr="00D557C1">
        <w:rPr>
          <w:rFonts w:ascii="Verdana" w:hAnsi="Verdana"/>
          <w:sz w:val="20"/>
          <w:szCs w:val="20"/>
          <w:lang w:val="es-CO"/>
        </w:rPr>
        <w:t xml:space="preserve">entidades </w:t>
      </w:r>
      <w:r w:rsidR="00DE0BFC" w:rsidRPr="00D557C1">
        <w:rPr>
          <w:rFonts w:ascii="Verdana" w:hAnsi="Verdana"/>
          <w:sz w:val="20"/>
          <w:szCs w:val="20"/>
          <w:lang w:val="es-CO"/>
        </w:rPr>
        <w:t>solo realizan cambios en el modelo de negocio que resulten de la implementación del plan de negocio</w:t>
      </w:r>
      <w:r w:rsidRPr="00D557C1">
        <w:rPr>
          <w:rFonts w:ascii="Verdana" w:hAnsi="Verdana"/>
          <w:sz w:val="20"/>
          <w:szCs w:val="20"/>
          <w:lang w:val="es-CO"/>
        </w:rPr>
        <w:t xml:space="preserve">. </w:t>
      </w:r>
    </w:p>
    <w:p w14:paraId="1F114FE3" w14:textId="77777777" w:rsidR="00340FFE" w:rsidRDefault="00340FFE" w:rsidP="00340FFE">
      <w:pPr>
        <w:jc w:val="both"/>
        <w:rPr>
          <w:rFonts w:ascii="Verdana" w:hAnsi="Verdana"/>
          <w:spacing w:val="0"/>
          <w:sz w:val="20"/>
          <w:szCs w:val="20"/>
          <w:lang w:val="es-CO"/>
        </w:rPr>
      </w:pPr>
    </w:p>
    <w:p w14:paraId="763287A3"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14</w:t>
      </w:r>
      <w:r w:rsidRPr="007C56A4">
        <w:rPr>
          <w:rFonts w:ascii="Verdana" w:hAnsi="Verdana"/>
          <w:spacing w:val="0"/>
          <w:sz w:val="20"/>
          <w:szCs w:val="20"/>
          <w:lang w:val="es-CO"/>
        </w:rPr>
        <w:t>.</w:t>
      </w:r>
    </w:p>
    <w:p w14:paraId="0B8A5FB2" w14:textId="77777777" w:rsidR="000D7A7B" w:rsidRPr="00D557C1" w:rsidRDefault="00F34310"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w:t>
      </w:r>
      <w:r w:rsidR="000D7A7B" w:rsidRPr="00D557C1">
        <w:rPr>
          <w:rFonts w:ascii="Verdana" w:hAnsi="Verdana"/>
          <w:sz w:val="20"/>
          <w:szCs w:val="20"/>
          <w:lang w:val="es-CO"/>
        </w:rPr>
        <w:t xml:space="preserve">a incorporación del plan de negocio </w:t>
      </w:r>
      <w:r w:rsidR="00313C52" w:rsidRPr="00D557C1">
        <w:rPr>
          <w:rFonts w:ascii="Verdana" w:hAnsi="Verdana"/>
          <w:sz w:val="20"/>
          <w:szCs w:val="20"/>
          <w:lang w:val="es-CO"/>
        </w:rPr>
        <w:t>(</w:t>
      </w:r>
      <w:r w:rsidR="000D7A7B" w:rsidRPr="00D557C1">
        <w:rPr>
          <w:rFonts w:ascii="Verdana" w:hAnsi="Verdana"/>
          <w:sz w:val="20"/>
          <w:szCs w:val="20"/>
          <w:lang w:val="es-CO"/>
        </w:rPr>
        <w:t>emisiones de deuda, inversiones estratégicas</w:t>
      </w:r>
      <w:r w:rsidR="008260B6" w:rsidRPr="00D557C1">
        <w:rPr>
          <w:rFonts w:ascii="Verdana" w:hAnsi="Verdana"/>
          <w:sz w:val="20"/>
          <w:szCs w:val="20"/>
          <w:lang w:val="es-CO"/>
        </w:rPr>
        <w:t>,</w:t>
      </w:r>
      <w:r w:rsidR="000D7A7B" w:rsidRPr="00D557C1">
        <w:rPr>
          <w:rFonts w:ascii="Verdana" w:hAnsi="Verdana"/>
          <w:sz w:val="20"/>
          <w:szCs w:val="20"/>
          <w:lang w:val="es-CO"/>
        </w:rPr>
        <w:t xml:space="preserve"> cambios estratégicos en el modelo de negocio</w:t>
      </w:r>
      <w:r w:rsidR="008260B6" w:rsidRPr="00D557C1">
        <w:rPr>
          <w:rFonts w:ascii="Verdana" w:hAnsi="Verdana"/>
          <w:sz w:val="20"/>
          <w:szCs w:val="20"/>
          <w:lang w:val="es-CO"/>
        </w:rPr>
        <w:t>, etc.</w:t>
      </w:r>
      <w:r w:rsidR="00313C52" w:rsidRPr="00D557C1">
        <w:rPr>
          <w:rFonts w:ascii="Verdana" w:hAnsi="Verdana"/>
          <w:sz w:val="20"/>
          <w:szCs w:val="20"/>
          <w:lang w:val="es-CO"/>
        </w:rPr>
        <w:t>)</w:t>
      </w:r>
      <w:r w:rsidRPr="00D557C1">
        <w:rPr>
          <w:rFonts w:ascii="Verdana" w:hAnsi="Verdana"/>
          <w:sz w:val="20"/>
          <w:szCs w:val="20"/>
          <w:lang w:val="es-CO"/>
        </w:rPr>
        <w:t xml:space="preserve"> </w:t>
      </w:r>
      <w:r w:rsidR="008260B6" w:rsidRPr="00D557C1">
        <w:rPr>
          <w:rFonts w:ascii="Verdana" w:hAnsi="Verdana"/>
          <w:sz w:val="20"/>
          <w:szCs w:val="20"/>
          <w:lang w:val="es-CO"/>
        </w:rPr>
        <w:t>debe ser</w:t>
      </w:r>
      <w:r w:rsidR="00007115" w:rsidRPr="00D557C1">
        <w:rPr>
          <w:rFonts w:ascii="Verdana" w:hAnsi="Verdana"/>
          <w:sz w:val="20"/>
          <w:szCs w:val="20"/>
          <w:lang w:val="es-CO"/>
        </w:rPr>
        <w:t xml:space="preserve"> consistente con </w:t>
      </w:r>
      <w:r w:rsidR="000D7A7B" w:rsidRPr="00D557C1">
        <w:rPr>
          <w:rFonts w:ascii="Verdana" w:hAnsi="Verdana"/>
          <w:sz w:val="20"/>
          <w:szCs w:val="20"/>
          <w:lang w:val="es-CO"/>
        </w:rPr>
        <w:t xml:space="preserve">los escenarios </w:t>
      </w:r>
      <w:r w:rsidRPr="00D557C1">
        <w:rPr>
          <w:rFonts w:ascii="Verdana" w:hAnsi="Verdana"/>
          <w:sz w:val="20"/>
          <w:szCs w:val="20"/>
          <w:lang w:val="es-CO"/>
        </w:rPr>
        <w:t>suministrados</w:t>
      </w:r>
      <w:r w:rsidR="000D7A7B" w:rsidRPr="00D557C1">
        <w:rPr>
          <w:rFonts w:ascii="Verdana" w:hAnsi="Verdana"/>
          <w:sz w:val="20"/>
          <w:szCs w:val="20"/>
          <w:lang w:val="es-CO"/>
        </w:rPr>
        <w:t xml:space="preserve"> por la SFC</w:t>
      </w:r>
      <w:r w:rsidR="00313C52" w:rsidRPr="00D557C1">
        <w:rPr>
          <w:rFonts w:ascii="Verdana" w:hAnsi="Verdana"/>
          <w:sz w:val="20"/>
          <w:szCs w:val="20"/>
          <w:lang w:val="es-CO"/>
        </w:rPr>
        <w:t xml:space="preserve"> y no debe emplearse como un mecanismo para neutralizar los choques provistos</w:t>
      </w:r>
      <w:r w:rsidR="000D7A7B" w:rsidRPr="00D557C1">
        <w:rPr>
          <w:rFonts w:ascii="Verdana" w:hAnsi="Verdana"/>
          <w:sz w:val="20"/>
          <w:szCs w:val="20"/>
          <w:lang w:val="es-CO"/>
        </w:rPr>
        <w:t>.</w:t>
      </w:r>
      <w:r w:rsidRPr="00D557C1">
        <w:rPr>
          <w:rFonts w:ascii="Verdana" w:hAnsi="Verdana"/>
          <w:sz w:val="20"/>
          <w:szCs w:val="20"/>
          <w:lang w:val="es-CO"/>
        </w:rPr>
        <w:t xml:space="preserve"> La entidad debe justificar en el informe cualitativo la inclusión de supuestos.</w:t>
      </w:r>
    </w:p>
    <w:p w14:paraId="5685DD4B" w14:textId="77777777" w:rsidR="00340FFE" w:rsidRDefault="00340FFE" w:rsidP="00340FFE">
      <w:pPr>
        <w:jc w:val="both"/>
        <w:rPr>
          <w:rFonts w:ascii="Verdana" w:hAnsi="Verdana"/>
          <w:spacing w:val="0"/>
          <w:sz w:val="20"/>
          <w:szCs w:val="20"/>
          <w:lang w:val="es-CO"/>
        </w:rPr>
      </w:pPr>
    </w:p>
    <w:p w14:paraId="688777D6"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15</w:t>
      </w:r>
      <w:r w:rsidRPr="007C56A4">
        <w:rPr>
          <w:rFonts w:ascii="Verdana" w:hAnsi="Verdana"/>
          <w:spacing w:val="0"/>
          <w:sz w:val="20"/>
          <w:szCs w:val="20"/>
          <w:lang w:val="es-CO"/>
        </w:rPr>
        <w:t>.</w:t>
      </w:r>
    </w:p>
    <w:p w14:paraId="300D34AB" w14:textId="77777777" w:rsidR="007A5E65" w:rsidRPr="00D557C1" w:rsidRDefault="002643A1"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En el caso en el que la entidad identifique que debe realizar una tercera proyección </w:t>
      </w:r>
      <w:r w:rsidR="00EF187D" w:rsidRPr="00D557C1">
        <w:rPr>
          <w:rFonts w:ascii="Verdana" w:hAnsi="Verdana"/>
          <w:sz w:val="20"/>
          <w:szCs w:val="20"/>
          <w:lang w:val="es-CO"/>
        </w:rPr>
        <w:t>que incorpora acciones para mitigar los riesgos, la estructura de los estados financieros en esta última proyección podrá cambiar a partir del segundo año en virtud de estas acciones.</w:t>
      </w:r>
    </w:p>
    <w:p w14:paraId="05AA5B7E" w14:textId="77777777" w:rsidR="007A5E65" w:rsidRPr="00D557C1" w:rsidRDefault="007A5E65" w:rsidP="00D557C1">
      <w:pPr>
        <w:pStyle w:val="Normal9pt"/>
        <w:numPr>
          <w:ilvl w:val="0"/>
          <w:numId w:val="0"/>
        </w:numPr>
        <w:rPr>
          <w:rFonts w:ascii="Verdana" w:hAnsi="Verdana"/>
          <w:sz w:val="20"/>
          <w:szCs w:val="20"/>
          <w:lang w:val="es-CO"/>
        </w:rPr>
      </w:pPr>
    </w:p>
    <w:p w14:paraId="73849C4E" w14:textId="77777777" w:rsidR="00D35812" w:rsidRPr="00D557C1" w:rsidRDefault="00D35812" w:rsidP="004B498B">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Riesgo de crédito</w:t>
      </w:r>
    </w:p>
    <w:p w14:paraId="416D4AA1" w14:textId="77777777" w:rsidR="007A1355" w:rsidRDefault="007A1355" w:rsidP="00D557C1">
      <w:pPr>
        <w:pStyle w:val="Normal9pt"/>
        <w:numPr>
          <w:ilvl w:val="0"/>
          <w:numId w:val="0"/>
        </w:numPr>
        <w:rPr>
          <w:rFonts w:ascii="Verdana" w:hAnsi="Verdana"/>
          <w:sz w:val="20"/>
          <w:szCs w:val="20"/>
          <w:lang w:val="es-CO"/>
        </w:rPr>
      </w:pPr>
    </w:p>
    <w:p w14:paraId="18D4EAB7"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16</w:t>
      </w:r>
      <w:r w:rsidRPr="007C56A4">
        <w:rPr>
          <w:rFonts w:ascii="Verdana" w:hAnsi="Verdana"/>
          <w:spacing w:val="0"/>
          <w:sz w:val="20"/>
          <w:szCs w:val="20"/>
          <w:lang w:val="es-CO"/>
        </w:rPr>
        <w:t>.</w:t>
      </w:r>
    </w:p>
    <w:p w14:paraId="3B3D3B5C" w14:textId="77777777" w:rsidR="009A2E66" w:rsidRPr="00D557C1" w:rsidRDefault="00427954" w:rsidP="00D557C1">
      <w:pPr>
        <w:pStyle w:val="Normal9pt"/>
        <w:numPr>
          <w:ilvl w:val="0"/>
          <w:numId w:val="0"/>
        </w:numPr>
        <w:rPr>
          <w:rFonts w:ascii="Verdana" w:hAnsi="Verdana"/>
          <w:sz w:val="20"/>
          <w:szCs w:val="20"/>
          <w:lang w:val="es-CO"/>
        </w:rPr>
      </w:pPr>
      <w:r w:rsidRPr="00D557C1">
        <w:rPr>
          <w:rFonts w:ascii="Verdana" w:hAnsi="Verdana"/>
          <w:sz w:val="20"/>
          <w:szCs w:val="20"/>
          <w:lang w:val="es-CO"/>
        </w:rPr>
        <w:t>Para todas las entidades del Grupo 1 e</w:t>
      </w:r>
      <w:r w:rsidR="00D35812" w:rsidRPr="00D557C1">
        <w:rPr>
          <w:rFonts w:ascii="Verdana" w:hAnsi="Verdana"/>
          <w:sz w:val="20"/>
          <w:szCs w:val="20"/>
          <w:lang w:val="es-CO"/>
        </w:rPr>
        <w:t>l riesgo de crédito se debe examinar sobre todas las modalidades de la cartera: comercial, consumo, vivienda y microcrédito.</w:t>
      </w:r>
      <w:r w:rsidR="00BD3E56" w:rsidRPr="00D557C1">
        <w:rPr>
          <w:rFonts w:ascii="Verdana" w:hAnsi="Verdana"/>
          <w:sz w:val="20"/>
          <w:szCs w:val="20"/>
          <w:lang w:val="es-CO"/>
        </w:rPr>
        <w:t xml:space="preserve"> </w:t>
      </w:r>
      <w:r w:rsidR="009A2E66" w:rsidRPr="00D557C1">
        <w:rPr>
          <w:rFonts w:ascii="Verdana" w:hAnsi="Verdana"/>
          <w:sz w:val="20"/>
          <w:szCs w:val="20"/>
          <w:lang w:val="es-CO"/>
        </w:rPr>
        <w:t xml:space="preserve">El ejercicio consiste en </w:t>
      </w:r>
      <w:r w:rsidR="00731A8A" w:rsidRPr="00D557C1">
        <w:rPr>
          <w:rFonts w:ascii="Verdana" w:hAnsi="Verdana"/>
          <w:sz w:val="20"/>
          <w:szCs w:val="20"/>
          <w:lang w:val="es-CO"/>
        </w:rPr>
        <w:t xml:space="preserve">afectar </w:t>
      </w:r>
      <w:r w:rsidR="009A2E66" w:rsidRPr="00D557C1">
        <w:rPr>
          <w:rFonts w:ascii="Verdana" w:hAnsi="Verdana"/>
          <w:sz w:val="20"/>
          <w:szCs w:val="20"/>
          <w:lang w:val="es-CO"/>
        </w:rPr>
        <w:t xml:space="preserve">los segmentos de </w:t>
      </w:r>
      <w:r w:rsidR="002D187A" w:rsidRPr="00D557C1">
        <w:rPr>
          <w:rFonts w:ascii="Verdana" w:hAnsi="Verdana"/>
          <w:sz w:val="20"/>
          <w:szCs w:val="20"/>
          <w:lang w:val="es-CO"/>
        </w:rPr>
        <w:t xml:space="preserve">la </w:t>
      </w:r>
      <w:r w:rsidR="009A2E66" w:rsidRPr="00D557C1">
        <w:rPr>
          <w:rFonts w:ascii="Verdana" w:hAnsi="Verdana"/>
          <w:sz w:val="20"/>
          <w:szCs w:val="20"/>
          <w:lang w:val="es-CO"/>
        </w:rPr>
        <w:t xml:space="preserve">cartera </w:t>
      </w:r>
      <w:r w:rsidR="00731A8A" w:rsidRPr="00D557C1">
        <w:rPr>
          <w:rFonts w:ascii="Verdana" w:hAnsi="Verdana"/>
          <w:sz w:val="20"/>
          <w:szCs w:val="20"/>
          <w:lang w:val="es-CO"/>
        </w:rPr>
        <w:t xml:space="preserve">y las garantías </w:t>
      </w:r>
      <w:r w:rsidR="009A2E66" w:rsidRPr="00D557C1">
        <w:rPr>
          <w:rFonts w:ascii="Verdana" w:hAnsi="Verdana"/>
          <w:sz w:val="20"/>
          <w:szCs w:val="20"/>
          <w:lang w:val="es-CO"/>
        </w:rPr>
        <w:t>de manera coherente con los escenarios propuestos.</w:t>
      </w:r>
    </w:p>
    <w:p w14:paraId="17E38220" w14:textId="77777777" w:rsidR="00340FFE" w:rsidRDefault="00340FFE" w:rsidP="00D557C1">
      <w:pPr>
        <w:pStyle w:val="Normal9pt"/>
        <w:numPr>
          <w:ilvl w:val="0"/>
          <w:numId w:val="0"/>
        </w:numPr>
        <w:rPr>
          <w:rFonts w:ascii="Verdana" w:hAnsi="Verdana"/>
          <w:sz w:val="20"/>
          <w:szCs w:val="20"/>
          <w:lang w:val="es-CO"/>
        </w:rPr>
      </w:pPr>
    </w:p>
    <w:p w14:paraId="0E03CCCF"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17</w:t>
      </w:r>
      <w:r w:rsidRPr="007C56A4">
        <w:rPr>
          <w:rFonts w:ascii="Verdana" w:hAnsi="Verdana"/>
          <w:spacing w:val="0"/>
          <w:sz w:val="20"/>
          <w:szCs w:val="20"/>
          <w:lang w:val="es-CO"/>
        </w:rPr>
        <w:t>.</w:t>
      </w:r>
    </w:p>
    <w:p w14:paraId="42D4EA1B" w14:textId="77777777" w:rsidR="00427954" w:rsidRPr="00D557C1" w:rsidRDefault="00427954"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las entidades del grupo 2 </w:t>
      </w:r>
      <w:r w:rsidR="003E3BE2" w:rsidRPr="00D557C1">
        <w:rPr>
          <w:rFonts w:ascii="Verdana" w:hAnsi="Verdana"/>
          <w:sz w:val="20"/>
          <w:szCs w:val="20"/>
          <w:lang w:val="es-CO"/>
        </w:rPr>
        <w:t>que tengan como</w:t>
      </w:r>
      <w:r w:rsidRPr="00D557C1">
        <w:rPr>
          <w:rFonts w:ascii="Verdana" w:hAnsi="Verdana"/>
          <w:sz w:val="20"/>
          <w:szCs w:val="20"/>
          <w:lang w:val="es-CO"/>
        </w:rPr>
        <w:t xml:space="preserve"> grupo de activos </w:t>
      </w:r>
      <w:r w:rsidR="008260B6" w:rsidRPr="00D557C1">
        <w:rPr>
          <w:rFonts w:ascii="Verdana" w:hAnsi="Verdana"/>
          <w:sz w:val="20"/>
          <w:szCs w:val="20"/>
          <w:lang w:val="es-CO"/>
        </w:rPr>
        <w:t>significativo</w:t>
      </w:r>
      <w:r w:rsidR="00302C37" w:rsidRPr="00D557C1">
        <w:rPr>
          <w:rFonts w:ascii="Verdana" w:hAnsi="Verdana"/>
          <w:sz w:val="20"/>
          <w:szCs w:val="20"/>
          <w:lang w:val="es-CO"/>
        </w:rPr>
        <w:t xml:space="preserve"> </w:t>
      </w:r>
      <w:r w:rsidR="008260B6" w:rsidRPr="00D557C1">
        <w:rPr>
          <w:rFonts w:ascii="Verdana" w:hAnsi="Verdana"/>
          <w:sz w:val="20"/>
          <w:szCs w:val="20"/>
          <w:lang w:val="es-CO"/>
        </w:rPr>
        <w:t>cartera</w:t>
      </w:r>
      <w:r w:rsidR="00F34310" w:rsidRPr="00D557C1">
        <w:rPr>
          <w:rFonts w:ascii="Verdana" w:hAnsi="Verdana"/>
          <w:sz w:val="20"/>
          <w:szCs w:val="20"/>
          <w:lang w:val="es-CO"/>
        </w:rPr>
        <w:t xml:space="preserve"> de créditos y operaciones de leasing</w:t>
      </w:r>
      <w:r w:rsidRPr="00D557C1">
        <w:rPr>
          <w:rFonts w:ascii="Verdana" w:hAnsi="Verdana"/>
          <w:sz w:val="20"/>
          <w:szCs w:val="20"/>
          <w:lang w:val="es-CO"/>
        </w:rPr>
        <w:t>, el riesgo de crédito se debe examinar únicamente sobre el total de cartera</w:t>
      </w:r>
      <w:r w:rsidR="00F34310" w:rsidRPr="00D557C1">
        <w:rPr>
          <w:rFonts w:ascii="Verdana" w:hAnsi="Verdana"/>
          <w:sz w:val="20"/>
          <w:szCs w:val="20"/>
          <w:lang w:val="es-CO"/>
        </w:rPr>
        <w:t xml:space="preserve"> y no se requiere una desagregación por modalidad</w:t>
      </w:r>
      <w:r w:rsidRPr="00D557C1">
        <w:rPr>
          <w:rFonts w:ascii="Verdana" w:hAnsi="Verdana"/>
          <w:sz w:val="20"/>
          <w:szCs w:val="20"/>
          <w:lang w:val="es-CO"/>
        </w:rPr>
        <w:t>.</w:t>
      </w:r>
    </w:p>
    <w:p w14:paraId="7D25DD87" w14:textId="77777777" w:rsidR="00340FFE" w:rsidRDefault="00340FFE" w:rsidP="00340FFE">
      <w:pPr>
        <w:jc w:val="both"/>
        <w:rPr>
          <w:rFonts w:ascii="Verdana" w:hAnsi="Verdana"/>
          <w:spacing w:val="0"/>
          <w:sz w:val="20"/>
          <w:szCs w:val="20"/>
          <w:lang w:val="es-CO"/>
        </w:rPr>
      </w:pPr>
    </w:p>
    <w:p w14:paraId="30B08E70"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18</w:t>
      </w:r>
      <w:r w:rsidRPr="007C56A4">
        <w:rPr>
          <w:rFonts w:ascii="Verdana" w:hAnsi="Verdana"/>
          <w:spacing w:val="0"/>
          <w:sz w:val="20"/>
          <w:szCs w:val="20"/>
          <w:lang w:val="es-CO"/>
        </w:rPr>
        <w:t>.</w:t>
      </w:r>
    </w:p>
    <w:p w14:paraId="0055250D" w14:textId="77777777" w:rsidR="003E3BE2" w:rsidRPr="00D557C1" w:rsidRDefault="003E3BE2"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Las entidades del Grupo 2 que no tengan como g</w:t>
      </w:r>
      <w:r w:rsidR="00302C37" w:rsidRPr="00D557C1">
        <w:rPr>
          <w:rFonts w:ascii="Verdana" w:hAnsi="Verdana"/>
          <w:sz w:val="20"/>
          <w:szCs w:val="20"/>
          <w:lang w:val="es-CO"/>
        </w:rPr>
        <w:t>rupo de activos significativo</w:t>
      </w:r>
      <w:r w:rsidRPr="00D557C1">
        <w:rPr>
          <w:rFonts w:ascii="Verdana" w:hAnsi="Verdana"/>
          <w:sz w:val="20"/>
          <w:szCs w:val="20"/>
          <w:lang w:val="es-CO"/>
        </w:rPr>
        <w:t xml:space="preserve"> </w:t>
      </w:r>
      <w:r w:rsidR="00107B98">
        <w:rPr>
          <w:rFonts w:ascii="Verdana" w:hAnsi="Verdana"/>
          <w:sz w:val="20"/>
          <w:szCs w:val="20"/>
          <w:lang w:val="es-CO"/>
        </w:rPr>
        <w:t xml:space="preserve">la </w:t>
      </w:r>
      <w:r w:rsidRPr="00D557C1">
        <w:rPr>
          <w:rFonts w:ascii="Verdana" w:hAnsi="Verdana"/>
          <w:sz w:val="20"/>
          <w:szCs w:val="20"/>
          <w:lang w:val="es-CO"/>
        </w:rPr>
        <w:t>cartera de créditos y operaciones de leasing, no deben examinar el riesgo de crédito.</w:t>
      </w:r>
    </w:p>
    <w:p w14:paraId="5D7B0657" w14:textId="77777777" w:rsidR="009A2E66" w:rsidRDefault="009A2E66" w:rsidP="00D557C1">
      <w:pPr>
        <w:pStyle w:val="Normal9pt"/>
        <w:numPr>
          <w:ilvl w:val="0"/>
          <w:numId w:val="0"/>
        </w:numPr>
        <w:rPr>
          <w:rFonts w:ascii="Verdana" w:hAnsi="Verdana"/>
          <w:sz w:val="20"/>
          <w:szCs w:val="20"/>
          <w:lang w:val="es-CO"/>
        </w:rPr>
      </w:pPr>
    </w:p>
    <w:p w14:paraId="53AF0E4C"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19</w:t>
      </w:r>
      <w:r w:rsidRPr="007C56A4">
        <w:rPr>
          <w:rFonts w:ascii="Verdana" w:hAnsi="Verdana"/>
          <w:spacing w:val="0"/>
          <w:sz w:val="20"/>
          <w:szCs w:val="20"/>
          <w:lang w:val="es-CO"/>
        </w:rPr>
        <w:t>.</w:t>
      </w:r>
    </w:p>
    <w:p w14:paraId="7DC467E6" w14:textId="77777777" w:rsidR="009A2E66" w:rsidRPr="00D557C1" w:rsidRDefault="009A2E66"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En la realización de los ejercicios para evaluar el impacto del riesgo de crédito </w:t>
      </w:r>
      <w:r w:rsidR="00FD5F75" w:rsidRPr="00D557C1">
        <w:rPr>
          <w:rFonts w:ascii="Verdana" w:hAnsi="Verdana"/>
          <w:sz w:val="20"/>
          <w:szCs w:val="20"/>
          <w:lang w:val="es-CO"/>
        </w:rPr>
        <w:t xml:space="preserve">se </w:t>
      </w:r>
      <w:r w:rsidRPr="00D557C1">
        <w:rPr>
          <w:rFonts w:ascii="Verdana" w:hAnsi="Verdana"/>
          <w:sz w:val="20"/>
          <w:szCs w:val="20"/>
          <w:lang w:val="es-CO"/>
        </w:rPr>
        <w:t xml:space="preserve">debe conservar el supuesto de que el balance no cambia sustancialmente en el horizonte temporal de las pruebas. Por tanto, </w:t>
      </w:r>
      <w:r w:rsidR="00404DBF" w:rsidRPr="00D557C1">
        <w:rPr>
          <w:rFonts w:ascii="Verdana" w:hAnsi="Verdana"/>
          <w:sz w:val="20"/>
          <w:szCs w:val="20"/>
          <w:lang w:val="es-CO"/>
        </w:rPr>
        <w:t xml:space="preserve">para efectos de este ejercicio </w:t>
      </w:r>
      <w:r w:rsidRPr="00D557C1">
        <w:rPr>
          <w:rFonts w:ascii="Verdana" w:hAnsi="Verdana"/>
          <w:sz w:val="20"/>
          <w:szCs w:val="20"/>
          <w:lang w:val="es-CO"/>
        </w:rPr>
        <w:t xml:space="preserve">las entidades no pueden </w:t>
      </w:r>
      <w:r w:rsidR="00404DBF" w:rsidRPr="00D557C1">
        <w:rPr>
          <w:rFonts w:ascii="Verdana" w:hAnsi="Verdana"/>
          <w:sz w:val="20"/>
          <w:szCs w:val="20"/>
          <w:lang w:val="es-CO"/>
        </w:rPr>
        <w:t xml:space="preserve">suponer un remplazo </w:t>
      </w:r>
      <w:r w:rsidRPr="00D557C1">
        <w:rPr>
          <w:rFonts w:ascii="Verdana" w:hAnsi="Verdana"/>
          <w:sz w:val="20"/>
          <w:szCs w:val="20"/>
          <w:lang w:val="es-CO"/>
        </w:rPr>
        <w:t xml:space="preserve">ni </w:t>
      </w:r>
      <w:r w:rsidR="00404DBF" w:rsidRPr="00D557C1">
        <w:rPr>
          <w:rFonts w:ascii="Verdana" w:hAnsi="Verdana"/>
          <w:sz w:val="20"/>
          <w:szCs w:val="20"/>
          <w:lang w:val="es-CO"/>
        </w:rPr>
        <w:t xml:space="preserve">venta de </w:t>
      </w:r>
      <w:r w:rsidRPr="00D557C1">
        <w:rPr>
          <w:rFonts w:ascii="Verdana" w:hAnsi="Verdana"/>
          <w:sz w:val="20"/>
          <w:szCs w:val="20"/>
          <w:lang w:val="es-CO"/>
        </w:rPr>
        <w:t>la cartera en mora</w:t>
      </w:r>
      <w:r w:rsidR="00266EF0" w:rsidRPr="00D557C1">
        <w:rPr>
          <w:rFonts w:ascii="Verdana" w:hAnsi="Verdana"/>
          <w:sz w:val="20"/>
          <w:szCs w:val="20"/>
          <w:lang w:val="es-CO"/>
        </w:rPr>
        <w:t xml:space="preserve"> en el escenario base y adverso sin acciones para mitigar los riesgos</w:t>
      </w:r>
      <w:r w:rsidR="002A5BA6" w:rsidRPr="00D557C1">
        <w:rPr>
          <w:rFonts w:ascii="Verdana" w:hAnsi="Verdana"/>
          <w:sz w:val="20"/>
          <w:szCs w:val="20"/>
          <w:lang w:val="es-CO"/>
        </w:rPr>
        <w:t xml:space="preserve">. De igual manera, es necesario tener en cuenta que las garantías </w:t>
      </w:r>
      <w:r w:rsidR="00F75093" w:rsidRPr="00D557C1">
        <w:rPr>
          <w:rFonts w:ascii="Verdana" w:hAnsi="Verdana"/>
          <w:sz w:val="20"/>
          <w:szCs w:val="20"/>
          <w:lang w:val="es-CO"/>
        </w:rPr>
        <w:t>solo pueden incrementar su valor en el escenario base y dicho incremento debe ser sustentado en el informe cualitativo</w:t>
      </w:r>
      <w:r w:rsidR="00B70CF0" w:rsidRPr="00D557C1">
        <w:rPr>
          <w:rFonts w:ascii="Verdana" w:hAnsi="Verdana"/>
          <w:sz w:val="20"/>
          <w:szCs w:val="20"/>
          <w:lang w:val="es-CO"/>
        </w:rPr>
        <w:t>.</w:t>
      </w:r>
      <w:r w:rsidR="002A5BA6" w:rsidRPr="00D557C1">
        <w:rPr>
          <w:rFonts w:ascii="Verdana" w:hAnsi="Verdana"/>
          <w:sz w:val="20"/>
          <w:szCs w:val="20"/>
          <w:lang w:val="es-CO"/>
        </w:rPr>
        <w:t xml:space="preserve"> </w:t>
      </w:r>
      <w:r w:rsidR="00946C76" w:rsidRPr="00D557C1">
        <w:rPr>
          <w:rFonts w:ascii="Verdana" w:hAnsi="Verdana"/>
          <w:sz w:val="20"/>
          <w:szCs w:val="20"/>
          <w:lang w:val="es-CO"/>
        </w:rPr>
        <w:t xml:space="preserve">Así mismo, </w:t>
      </w:r>
      <w:r w:rsidR="003101FA" w:rsidRPr="00D557C1">
        <w:rPr>
          <w:rFonts w:ascii="Verdana" w:hAnsi="Verdana"/>
          <w:sz w:val="20"/>
          <w:szCs w:val="20"/>
          <w:lang w:val="es-CO"/>
        </w:rPr>
        <w:t xml:space="preserve">al proyectar sus ingresos por intereses </w:t>
      </w:r>
      <w:r w:rsidR="0080348C" w:rsidRPr="00D557C1">
        <w:rPr>
          <w:rFonts w:ascii="Verdana" w:hAnsi="Verdana"/>
          <w:sz w:val="20"/>
          <w:szCs w:val="20"/>
          <w:lang w:val="es-CO"/>
        </w:rPr>
        <w:t>para cada uno de los</w:t>
      </w:r>
      <w:r w:rsidR="003101FA" w:rsidRPr="00D557C1">
        <w:rPr>
          <w:rFonts w:ascii="Verdana" w:hAnsi="Verdana"/>
          <w:sz w:val="20"/>
          <w:szCs w:val="20"/>
          <w:lang w:val="es-CO"/>
        </w:rPr>
        <w:t xml:space="preserve"> escenarios, </w:t>
      </w:r>
      <w:r w:rsidR="00946C76" w:rsidRPr="00D557C1">
        <w:rPr>
          <w:rFonts w:ascii="Verdana" w:hAnsi="Verdana"/>
          <w:sz w:val="20"/>
          <w:szCs w:val="20"/>
          <w:lang w:val="es-CO"/>
        </w:rPr>
        <w:t>las entidades deben</w:t>
      </w:r>
      <w:r w:rsidR="00642D3A" w:rsidRPr="00D557C1">
        <w:rPr>
          <w:rFonts w:ascii="Verdana" w:hAnsi="Verdana"/>
          <w:sz w:val="20"/>
          <w:szCs w:val="20"/>
          <w:lang w:val="es-CO"/>
        </w:rPr>
        <w:t xml:space="preserve"> </w:t>
      </w:r>
      <w:r w:rsidR="001C02A5" w:rsidRPr="00D557C1">
        <w:rPr>
          <w:rFonts w:ascii="Verdana" w:hAnsi="Verdana"/>
          <w:sz w:val="20"/>
          <w:szCs w:val="20"/>
          <w:lang w:val="es-CO"/>
        </w:rPr>
        <w:t>i</w:t>
      </w:r>
      <w:r w:rsidR="00642D3A" w:rsidRPr="00D557C1">
        <w:rPr>
          <w:rFonts w:ascii="Verdana" w:hAnsi="Verdana"/>
          <w:sz w:val="20"/>
          <w:szCs w:val="20"/>
          <w:lang w:val="es-CO"/>
        </w:rPr>
        <w:t>n</w:t>
      </w:r>
      <w:r w:rsidR="001C02A5" w:rsidRPr="00D557C1">
        <w:rPr>
          <w:rFonts w:ascii="Verdana" w:hAnsi="Verdana"/>
          <w:sz w:val="20"/>
          <w:szCs w:val="20"/>
          <w:lang w:val="es-CO"/>
        </w:rPr>
        <w:t>corporar</w:t>
      </w:r>
      <w:r w:rsidR="00946C76" w:rsidRPr="00D557C1">
        <w:rPr>
          <w:rFonts w:ascii="Verdana" w:hAnsi="Verdana"/>
          <w:sz w:val="20"/>
          <w:szCs w:val="20"/>
          <w:lang w:val="es-CO"/>
        </w:rPr>
        <w:t xml:space="preserve"> el efecto de la evol</w:t>
      </w:r>
      <w:r w:rsidR="00C50BB0" w:rsidRPr="00D557C1">
        <w:rPr>
          <w:rFonts w:ascii="Verdana" w:hAnsi="Verdana"/>
          <w:sz w:val="20"/>
          <w:szCs w:val="20"/>
          <w:lang w:val="es-CO"/>
        </w:rPr>
        <w:t xml:space="preserve">ución de la calidad del crédito, para el cual deberá presentar en el informe cualitativo, las estimaciones relacionadas con </w:t>
      </w:r>
      <w:r w:rsidR="00302C37" w:rsidRPr="00D557C1">
        <w:rPr>
          <w:rFonts w:ascii="Verdana" w:hAnsi="Verdana"/>
          <w:sz w:val="20"/>
          <w:szCs w:val="20"/>
          <w:lang w:val="es-CO"/>
        </w:rPr>
        <w:t xml:space="preserve">la </w:t>
      </w:r>
      <w:r w:rsidR="00C50BB0" w:rsidRPr="00D557C1">
        <w:rPr>
          <w:rFonts w:ascii="Verdana" w:hAnsi="Verdana"/>
          <w:sz w:val="20"/>
          <w:szCs w:val="20"/>
          <w:lang w:val="es-CO"/>
        </w:rPr>
        <w:t>cartera improductiva por modalidad y los efectos en materia de suspensión de intereses.</w:t>
      </w:r>
    </w:p>
    <w:p w14:paraId="72D2F124" w14:textId="77777777" w:rsidR="009A2E66" w:rsidRDefault="009A2E66" w:rsidP="00D557C1">
      <w:pPr>
        <w:pStyle w:val="Normal9pt"/>
        <w:numPr>
          <w:ilvl w:val="0"/>
          <w:numId w:val="0"/>
        </w:numPr>
        <w:rPr>
          <w:rFonts w:ascii="Verdana" w:hAnsi="Verdana"/>
          <w:sz w:val="20"/>
          <w:szCs w:val="20"/>
          <w:lang w:val="es-CO"/>
        </w:rPr>
      </w:pPr>
    </w:p>
    <w:p w14:paraId="2179E565"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20</w:t>
      </w:r>
      <w:r w:rsidRPr="007C56A4">
        <w:rPr>
          <w:rFonts w:ascii="Verdana" w:hAnsi="Verdana"/>
          <w:spacing w:val="0"/>
          <w:sz w:val="20"/>
          <w:szCs w:val="20"/>
          <w:lang w:val="es-CO"/>
        </w:rPr>
        <w:t>.</w:t>
      </w:r>
    </w:p>
    <w:p w14:paraId="5C621C25" w14:textId="77777777" w:rsidR="00C50BB0" w:rsidRPr="00D557C1" w:rsidRDefault="00C50BB0" w:rsidP="00D557C1">
      <w:pPr>
        <w:pStyle w:val="Normal9pt"/>
        <w:numPr>
          <w:ilvl w:val="0"/>
          <w:numId w:val="0"/>
        </w:numPr>
        <w:rPr>
          <w:rFonts w:ascii="Verdana" w:hAnsi="Verdana"/>
          <w:sz w:val="20"/>
          <w:szCs w:val="20"/>
          <w:lang w:val="es-CO"/>
        </w:rPr>
      </w:pPr>
      <w:r w:rsidRPr="00D557C1">
        <w:rPr>
          <w:rFonts w:ascii="Verdana" w:hAnsi="Verdana"/>
          <w:sz w:val="20"/>
          <w:szCs w:val="20"/>
          <w:lang w:val="es-CO"/>
        </w:rPr>
        <w:t>En el caso en que la entidad decida realizar proyecciones de su cartera basados en las proyecciones del comportamiento de la cartera del sistema, debe explicar claramente las razones para adoptar este supuesto. En todo caso</w:t>
      </w:r>
      <w:r w:rsidR="00F34310" w:rsidRPr="00D557C1">
        <w:rPr>
          <w:rFonts w:ascii="Verdana" w:hAnsi="Verdana"/>
          <w:sz w:val="20"/>
          <w:szCs w:val="20"/>
          <w:lang w:val="es-CO"/>
        </w:rPr>
        <w:t>, las proyecciones</w:t>
      </w:r>
      <w:r w:rsidRPr="00D557C1">
        <w:rPr>
          <w:rFonts w:ascii="Verdana" w:hAnsi="Verdana"/>
          <w:sz w:val="20"/>
          <w:szCs w:val="20"/>
          <w:lang w:val="es-CO"/>
        </w:rPr>
        <w:t xml:space="preserve"> debe</w:t>
      </w:r>
      <w:r w:rsidR="00F34310" w:rsidRPr="00D557C1">
        <w:rPr>
          <w:rFonts w:ascii="Verdana" w:hAnsi="Verdana"/>
          <w:sz w:val="20"/>
          <w:szCs w:val="20"/>
          <w:lang w:val="es-CO"/>
        </w:rPr>
        <w:t>n</w:t>
      </w:r>
      <w:r w:rsidRPr="00D557C1">
        <w:rPr>
          <w:rFonts w:ascii="Verdana" w:hAnsi="Verdana"/>
          <w:sz w:val="20"/>
          <w:szCs w:val="20"/>
          <w:lang w:val="es-CO"/>
        </w:rPr>
        <w:t xml:space="preserve"> realizarse prioritariamente </w:t>
      </w:r>
      <w:r w:rsidR="008260B6" w:rsidRPr="00D557C1">
        <w:rPr>
          <w:rFonts w:ascii="Verdana" w:hAnsi="Verdana"/>
          <w:sz w:val="20"/>
          <w:szCs w:val="20"/>
          <w:lang w:val="es-CO"/>
        </w:rPr>
        <w:t>sobre el</w:t>
      </w:r>
      <w:r w:rsidR="00007115" w:rsidRPr="00D557C1">
        <w:rPr>
          <w:rFonts w:ascii="Verdana" w:hAnsi="Verdana"/>
          <w:sz w:val="20"/>
          <w:szCs w:val="20"/>
          <w:lang w:val="es-CO"/>
        </w:rPr>
        <w:t xml:space="preserve"> </w:t>
      </w:r>
      <w:r w:rsidRPr="00D557C1">
        <w:rPr>
          <w:rFonts w:ascii="Verdana" w:hAnsi="Verdana"/>
          <w:sz w:val="20"/>
          <w:szCs w:val="20"/>
          <w:lang w:val="es-CO"/>
        </w:rPr>
        <w:t>comportamiento de su propia cartera, considerando el perfil propio de sus portafolios.</w:t>
      </w:r>
    </w:p>
    <w:p w14:paraId="3ADEAA15" w14:textId="77777777" w:rsidR="00C50BB0" w:rsidRDefault="00C50BB0" w:rsidP="00D557C1">
      <w:pPr>
        <w:pStyle w:val="Normal9pt"/>
        <w:numPr>
          <w:ilvl w:val="0"/>
          <w:numId w:val="0"/>
        </w:numPr>
        <w:rPr>
          <w:rFonts w:ascii="Verdana" w:hAnsi="Verdana"/>
          <w:sz w:val="20"/>
          <w:szCs w:val="20"/>
          <w:lang w:val="es-CO"/>
        </w:rPr>
      </w:pPr>
    </w:p>
    <w:p w14:paraId="0B2FBE06"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21</w:t>
      </w:r>
      <w:r w:rsidRPr="007C56A4">
        <w:rPr>
          <w:rFonts w:ascii="Verdana" w:hAnsi="Verdana"/>
          <w:spacing w:val="0"/>
          <w:sz w:val="20"/>
          <w:szCs w:val="20"/>
          <w:lang w:val="es-CO"/>
        </w:rPr>
        <w:t>.</w:t>
      </w:r>
    </w:p>
    <w:p w14:paraId="4199B037" w14:textId="77777777" w:rsidR="00C50BB0" w:rsidRPr="00D557C1" w:rsidRDefault="00C50BB0"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 entidad debe considerar en sus proyecciones de cartera y provisiones, el riesgo derivado</w:t>
      </w:r>
      <w:r w:rsidR="000462BA" w:rsidRPr="00D557C1">
        <w:rPr>
          <w:rFonts w:ascii="Verdana" w:hAnsi="Verdana"/>
          <w:sz w:val="20"/>
          <w:szCs w:val="20"/>
          <w:lang w:val="es-CO"/>
        </w:rPr>
        <w:t xml:space="preserve"> del incumplimiento de s</w:t>
      </w:r>
      <w:r w:rsidRPr="00D557C1">
        <w:rPr>
          <w:rFonts w:ascii="Verdana" w:hAnsi="Verdana"/>
          <w:sz w:val="20"/>
          <w:szCs w:val="20"/>
          <w:lang w:val="es-CO"/>
        </w:rPr>
        <w:t>us contrapartes que</w:t>
      </w:r>
      <w:r w:rsidR="00302C37" w:rsidRPr="00D557C1">
        <w:rPr>
          <w:rFonts w:ascii="Verdana" w:hAnsi="Verdana"/>
          <w:sz w:val="20"/>
          <w:szCs w:val="20"/>
          <w:lang w:val="es-CO"/>
        </w:rPr>
        <w:t>,</w:t>
      </w:r>
      <w:r w:rsidRPr="00D557C1">
        <w:rPr>
          <w:rFonts w:ascii="Verdana" w:hAnsi="Verdana"/>
          <w:sz w:val="20"/>
          <w:szCs w:val="20"/>
          <w:lang w:val="es-CO"/>
        </w:rPr>
        <w:t xml:space="preserve"> según su análisis</w:t>
      </w:r>
      <w:r w:rsidR="00302C37" w:rsidRPr="00D557C1">
        <w:rPr>
          <w:rFonts w:ascii="Verdana" w:hAnsi="Verdana"/>
          <w:sz w:val="20"/>
          <w:szCs w:val="20"/>
          <w:lang w:val="es-CO"/>
        </w:rPr>
        <w:t>,</w:t>
      </w:r>
      <w:r w:rsidRPr="00D557C1">
        <w:rPr>
          <w:rFonts w:ascii="Verdana" w:hAnsi="Verdana"/>
          <w:sz w:val="20"/>
          <w:szCs w:val="20"/>
          <w:lang w:val="es-CO"/>
        </w:rPr>
        <w:t xml:space="preserve"> puedan tener un impacto significativo</w:t>
      </w:r>
      <w:r w:rsidR="008260B6" w:rsidRPr="00D557C1">
        <w:rPr>
          <w:rFonts w:ascii="Verdana" w:hAnsi="Verdana"/>
          <w:sz w:val="20"/>
          <w:szCs w:val="20"/>
          <w:lang w:val="es-CO"/>
        </w:rPr>
        <w:t xml:space="preserve"> en sus estados financieros</w:t>
      </w:r>
      <w:r w:rsidRPr="00D557C1">
        <w:rPr>
          <w:rFonts w:ascii="Verdana" w:hAnsi="Verdana"/>
          <w:sz w:val="20"/>
          <w:szCs w:val="20"/>
          <w:lang w:val="es-CO"/>
        </w:rPr>
        <w:t xml:space="preserve"> a raíz de un posible deterioro en los </w:t>
      </w:r>
      <w:r w:rsidRPr="00D557C1">
        <w:rPr>
          <w:rFonts w:ascii="Verdana" w:hAnsi="Verdana"/>
          <w:sz w:val="20"/>
          <w:szCs w:val="20"/>
          <w:lang w:val="es-CO"/>
        </w:rPr>
        <w:lastRenderedPageBreak/>
        <w:t>entornos macroeconómicos</w:t>
      </w:r>
      <w:r w:rsidR="008260B6" w:rsidRPr="00D557C1">
        <w:rPr>
          <w:rFonts w:ascii="Verdana" w:hAnsi="Verdana"/>
          <w:sz w:val="20"/>
          <w:szCs w:val="20"/>
          <w:lang w:val="es-CO"/>
        </w:rPr>
        <w:t>,</w:t>
      </w:r>
      <w:r w:rsidRPr="00D557C1">
        <w:rPr>
          <w:rFonts w:ascii="Verdana" w:hAnsi="Verdana"/>
          <w:sz w:val="20"/>
          <w:szCs w:val="20"/>
          <w:lang w:val="es-CO"/>
        </w:rPr>
        <w:t xml:space="preserve"> en línea con los escenarios base y adverso o por vulnerabilidades en su condición financiera.</w:t>
      </w:r>
    </w:p>
    <w:p w14:paraId="400A051F" w14:textId="77777777" w:rsidR="00340FFE" w:rsidRDefault="00340FFE" w:rsidP="00340FFE">
      <w:pPr>
        <w:jc w:val="both"/>
        <w:rPr>
          <w:rFonts w:ascii="Verdana" w:hAnsi="Verdana"/>
          <w:spacing w:val="0"/>
          <w:sz w:val="20"/>
          <w:szCs w:val="20"/>
          <w:lang w:val="es-CO"/>
        </w:rPr>
      </w:pPr>
    </w:p>
    <w:p w14:paraId="5B73599E"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22</w:t>
      </w:r>
      <w:r w:rsidRPr="007C56A4">
        <w:rPr>
          <w:rFonts w:ascii="Verdana" w:hAnsi="Verdana"/>
          <w:spacing w:val="0"/>
          <w:sz w:val="20"/>
          <w:szCs w:val="20"/>
          <w:lang w:val="es-CO"/>
        </w:rPr>
        <w:t>.</w:t>
      </w:r>
    </w:p>
    <w:p w14:paraId="7341D6B1" w14:textId="77777777" w:rsidR="00755B37" w:rsidRPr="00D557C1" w:rsidRDefault="00574CA9"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Las condiciones para el cálculo</w:t>
      </w:r>
      <w:r w:rsidR="00057B67" w:rsidRPr="00D557C1">
        <w:rPr>
          <w:rFonts w:ascii="Verdana" w:hAnsi="Verdana"/>
          <w:sz w:val="20"/>
          <w:szCs w:val="20"/>
          <w:lang w:val="es-CO"/>
        </w:rPr>
        <w:t xml:space="preserve"> y constitución </w:t>
      </w:r>
      <w:r w:rsidRPr="00D557C1">
        <w:rPr>
          <w:rFonts w:ascii="Verdana" w:hAnsi="Verdana"/>
          <w:sz w:val="20"/>
          <w:szCs w:val="20"/>
          <w:lang w:val="es-CO"/>
        </w:rPr>
        <w:t xml:space="preserve">de </w:t>
      </w:r>
      <w:r w:rsidR="00B65C5B" w:rsidRPr="00D557C1">
        <w:rPr>
          <w:rFonts w:ascii="Verdana" w:hAnsi="Verdana"/>
          <w:sz w:val="20"/>
          <w:szCs w:val="20"/>
          <w:lang w:val="es-CO"/>
        </w:rPr>
        <w:t xml:space="preserve">las </w:t>
      </w:r>
      <w:r w:rsidRPr="00D557C1">
        <w:rPr>
          <w:rFonts w:ascii="Verdana" w:hAnsi="Verdana"/>
          <w:sz w:val="20"/>
          <w:szCs w:val="20"/>
          <w:lang w:val="es-CO"/>
        </w:rPr>
        <w:t xml:space="preserve">provisiones, </w:t>
      </w:r>
      <w:r w:rsidR="00057B67" w:rsidRPr="00D557C1">
        <w:rPr>
          <w:rFonts w:ascii="Verdana" w:hAnsi="Verdana"/>
          <w:sz w:val="20"/>
          <w:szCs w:val="20"/>
          <w:lang w:val="es-CO"/>
        </w:rPr>
        <w:t xml:space="preserve">la recuperación de cartera, la constitución de garantías, </w:t>
      </w:r>
      <w:r w:rsidR="00B65C5B" w:rsidRPr="00D557C1">
        <w:rPr>
          <w:rFonts w:ascii="Verdana" w:hAnsi="Verdana"/>
          <w:sz w:val="20"/>
          <w:szCs w:val="20"/>
          <w:lang w:val="es-CO"/>
        </w:rPr>
        <w:t>la recalificación de los créditos, la causación de intereses y en general todos los elementos y reglas que componen el Sistema de Administración de Riesgo de Crédito (SARC), deben estar alinead</w:t>
      </w:r>
      <w:r w:rsidR="005F25EC" w:rsidRPr="00D557C1">
        <w:rPr>
          <w:rFonts w:ascii="Verdana" w:hAnsi="Verdana"/>
          <w:sz w:val="20"/>
          <w:szCs w:val="20"/>
          <w:lang w:val="es-CO"/>
        </w:rPr>
        <w:t>a</w:t>
      </w:r>
      <w:r w:rsidR="00B65C5B" w:rsidRPr="00D557C1">
        <w:rPr>
          <w:rFonts w:ascii="Verdana" w:hAnsi="Verdana"/>
          <w:sz w:val="20"/>
          <w:szCs w:val="20"/>
          <w:lang w:val="es-CO"/>
        </w:rPr>
        <w:t xml:space="preserve">s con la normativa vigente al respecto. </w:t>
      </w:r>
      <w:r w:rsidR="00944CBB" w:rsidRPr="00D557C1">
        <w:rPr>
          <w:rFonts w:ascii="Verdana" w:hAnsi="Verdana"/>
          <w:sz w:val="20"/>
          <w:szCs w:val="20"/>
          <w:lang w:val="es-CO"/>
        </w:rPr>
        <w:t>Si en el cálculo</w:t>
      </w:r>
      <w:r w:rsidR="00B65C5B" w:rsidRPr="00D557C1">
        <w:rPr>
          <w:rFonts w:ascii="Verdana" w:hAnsi="Verdana"/>
          <w:sz w:val="20"/>
          <w:szCs w:val="20"/>
          <w:lang w:val="es-CO"/>
        </w:rPr>
        <w:t xml:space="preserve"> </w:t>
      </w:r>
      <w:r w:rsidR="00E13F43" w:rsidRPr="00D557C1">
        <w:rPr>
          <w:rFonts w:ascii="Verdana" w:hAnsi="Verdana"/>
          <w:sz w:val="20"/>
          <w:szCs w:val="20"/>
          <w:lang w:val="es-CO"/>
        </w:rPr>
        <w:t>de las provisiones individuales</w:t>
      </w:r>
      <w:r w:rsidR="00944CBB" w:rsidRPr="00D557C1">
        <w:rPr>
          <w:rFonts w:ascii="Verdana" w:hAnsi="Verdana"/>
          <w:sz w:val="20"/>
          <w:szCs w:val="20"/>
          <w:lang w:val="es-CO"/>
        </w:rPr>
        <w:t xml:space="preserve"> de las modalidades de comercial y de consumo</w:t>
      </w:r>
      <w:r w:rsidR="00B70CF0" w:rsidRPr="00D557C1">
        <w:rPr>
          <w:rFonts w:ascii="Verdana" w:hAnsi="Verdana"/>
          <w:sz w:val="20"/>
          <w:szCs w:val="20"/>
          <w:lang w:val="es-CO"/>
        </w:rPr>
        <w:t>,</w:t>
      </w:r>
      <w:r w:rsidR="00E13F43" w:rsidRPr="00D557C1">
        <w:rPr>
          <w:rFonts w:ascii="Verdana" w:hAnsi="Verdana"/>
          <w:sz w:val="20"/>
          <w:szCs w:val="20"/>
          <w:lang w:val="es-CO"/>
        </w:rPr>
        <w:t xml:space="preserve"> </w:t>
      </w:r>
      <w:r w:rsidR="00944CBB" w:rsidRPr="00D557C1">
        <w:rPr>
          <w:rFonts w:ascii="Verdana" w:hAnsi="Verdana"/>
          <w:sz w:val="20"/>
          <w:szCs w:val="20"/>
          <w:lang w:val="es-CO"/>
        </w:rPr>
        <w:t>la</w:t>
      </w:r>
      <w:r w:rsidR="0080348C" w:rsidRPr="00D557C1">
        <w:rPr>
          <w:rFonts w:ascii="Verdana" w:hAnsi="Verdana"/>
          <w:sz w:val="20"/>
          <w:szCs w:val="20"/>
          <w:lang w:val="es-CO"/>
        </w:rPr>
        <w:t xml:space="preserve"> entidad </w:t>
      </w:r>
      <w:r w:rsidR="008C6747" w:rsidRPr="00D557C1">
        <w:rPr>
          <w:rFonts w:ascii="Verdana" w:hAnsi="Verdana"/>
          <w:sz w:val="20"/>
          <w:szCs w:val="20"/>
          <w:lang w:val="es-CO"/>
        </w:rPr>
        <w:t>utiliza la metodología establecida para la</w:t>
      </w:r>
      <w:r w:rsidR="0080348C" w:rsidRPr="00D557C1">
        <w:rPr>
          <w:rFonts w:ascii="Verdana" w:hAnsi="Verdana"/>
          <w:sz w:val="20"/>
          <w:szCs w:val="20"/>
          <w:lang w:val="es-CO"/>
        </w:rPr>
        <w:t xml:space="preserve"> fase desacumulativa,</w:t>
      </w:r>
      <w:r w:rsidR="00D54C84" w:rsidRPr="00D557C1">
        <w:rPr>
          <w:rFonts w:ascii="Verdana" w:hAnsi="Verdana"/>
          <w:sz w:val="20"/>
          <w:szCs w:val="20"/>
          <w:lang w:val="es-CO"/>
        </w:rPr>
        <w:t xml:space="preserve"> </w:t>
      </w:r>
      <w:r w:rsidR="0080348C" w:rsidRPr="00D557C1">
        <w:rPr>
          <w:rFonts w:ascii="Verdana" w:hAnsi="Verdana"/>
          <w:sz w:val="20"/>
          <w:szCs w:val="20"/>
          <w:lang w:val="es-CO"/>
        </w:rPr>
        <w:t>debe justificar las ra</w:t>
      </w:r>
      <w:r w:rsidR="00695D5C" w:rsidRPr="00D557C1">
        <w:rPr>
          <w:rFonts w:ascii="Verdana" w:hAnsi="Verdana"/>
          <w:sz w:val="20"/>
          <w:szCs w:val="20"/>
          <w:lang w:val="es-CO"/>
        </w:rPr>
        <w:t>zones en el informe cualitativo</w:t>
      </w:r>
      <w:r w:rsidR="002A5BA6" w:rsidRPr="00D557C1">
        <w:rPr>
          <w:rFonts w:ascii="Verdana" w:hAnsi="Verdana"/>
          <w:sz w:val="20"/>
          <w:szCs w:val="20"/>
          <w:lang w:val="es-CO"/>
        </w:rPr>
        <w:t>.</w:t>
      </w:r>
      <w:r w:rsidR="00946C76" w:rsidRPr="00D557C1">
        <w:rPr>
          <w:rFonts w:ascii="Verdana" w:hAnsi="Verdana"/>
          <w:sz w:val="20"/>
          <w:szCs w:val="20"/>
          <w:lang w:val="es-CO"/>
        </w:rPr>
        <w:t xml:space="preserve"> </w:t>
      </w:r>
    </w:p>
    <w:p w14:paraId="3FD62B67" w14:textId="77777777" w:rsidR="009A2E66" w:rsidRPr="00D557C1" w:rsidRDefault="009A2E66" w:rsidP="00D557C1">
      <w:pPr>
        <w:pStyle w:val="Normal9pt"/>
        <w:numPr>
          <w:ilvl w:val="0"/>
          <w:numId w:val="0"/>
        </w:numPr>
        <w:rPr>
          <w:rFonts w:ascii="Verdana" w:hAnsi="Verdana"/>
          <w:sz w:val="20"/>
          <w:szCs w:val="20"/>
          <w:lang w:val="es-CO"/>
        </w:rPr>
      </w:pPr>
    </w:p>
    <w:p w14:paraId="164BE5DD" w14:textId="77777777" w:rsidR="00D35812" w:rsidRPr="00D557C1" w:rsidRDefault="00D35812" w:rsidP="004B498B">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Riesgo de mercado</w:t>
      </w:r>
    </w:p>
    <w:p w14:paraId="78BE01C9" w14:textId="77777777" w:rsidR="007A1355" w:rsidRDefault="007A1355" w:rsidP="00D557C1">
      <w:pPr>
        <w:pStyle w:val="Normal9pt"/>
        <w:numPr>
          <w:ilvl w:val="0"/>
          <w:numId w:val="0"/>
        </w:numPr>
        <w:rPr>
          <w:rFonts w:ascii="Verdana" w:hAnsi="Verdana"/>
          <w:sz w:val="20"/>
          <w:szCs w:val="20"/>
          <w:lang w:val="es-CO"/>
        </w:rPr>
      </w:pPr>
    </w:p>
    <w:p w14:paraId="2C576632"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23</w:t>
      </w:r>
      <w:r w:rsidRPr="007C56A4">
        <w:rPr>
          <w:rFonts w:ascii="Verdana" w:hAnsi="Verdana"/>
          <w:spacing w:val="0"/>
          <w:sz w:val="20"/>
          <w:szCs w:val="20"/>
          <w:lang w:val="es-CO"/>
        </w:rPr>
        <w:t>.</w:t>
      </w:r>
    </w:p>
    <w:p w14:paraId="408C7EFE" w14:textId="12F4D11A" w:rsidR="00340FFE" w:rsidRDefault="00222168" w:rsidP="00D557C1">
      <w:pPr>
        <w:pStyle w:val="Normal9pt"/>
        <w:numPr>
          <w:ilvl w:val="0"/>
          <w:numId w:val="0"/>
        </w:numPr>
        <w:rPr>
          <w:rFonts w:ascii="Verdana" w:hAnsi="Verdana"/>
          <w:sz w:val="20"/>
          <w:szCs w:val="20"/>
          <w:lang w:val="es-CO"/>
        </w:rPr>
      </w:pPr>
      <w:r w:rsidRPr="00D557C1">
        <w:rPr>
          <w:rFonts w:ascii="Verdana" w:hAnsi="Verdana"/>
          <w:sz w:val="20"/>
          <w:szCs w:val="20"/>
          <w:lang w:val="es-CO"/>
        </w:rPr>
        <w:t>Para todas las entidades del Grupo 1,</w:t>
      </w:r>
      <w:r w:rsidRPr="00D557C1" w:rsidDel="00427954">
        <w:rPr>
          <w:rFonts w:ascii="Verdana" w:hAnsi="Verdana"/>
          <w:sz w:val="20"/>
          <w:szCs w:val="20"/>
          <w:lang w:val="es-CO"/>
        </w:rPr>
        <w:t xml:space="preserve"> </w:t>
      </w:r>
      <w:r w:rsidRPr="00D557C1">
        <w:rPr>
          <w:rFonts w:ascii="Verdana" w:hAnsi="Verdana"/>
          <w:sz w:val="20"/>
          <w:szCs w:val="20"/>
          <w:lang w:val="es-CO"/>
        </w:rPr>
        <w:t xml:space="preserve">el riesgo de mercado se debe examinar sobre </w:t>
      </w:r>
      <w:r w:rsidR="007722F2" w:rsidRPr="00D557C1">
        <w:rPr>
          <w:rFonts w:ascii="Verdana" w:hAnsi="Verdana"/>
          <w:sz w:val="20"/>
          <w:szCs w:val="20"/>
          <w:lang w:val="es-CO"/>
        </w:rPr>
        <w:t xml:space="preserve">todas las posiciones de los activos expuestos a variaciones en los precios de mercado. Por tanto, este riesgo será evaluado por medio de la transmisión de las fluctuaciones de los precios de los diferentes activos, contenidas en los escenarios, a las inversiones </w:t>
      </w:r>
      <w:r w:rsidR="008278F2" w:rsidRPr="00D557C1">
        <w:rPr>
          <w:rFonts w:ascii="Verdana" w:hAnsi="Verdana"/>
          <w:sz w:val="20"/>
          <w:szCs w:val="20"/>
          <w:lang w:val="es-CO"/>
        </w:rPr>
        <w:t>y operaciones con derivados</w:t>
      </w:r>
      <w:r w:rsidR="007722F2" w:rsidRPr="00D557C1">
        <w:rPr>
          <w:rFonts w:ascii="Verdana" w:hAnsi="Verdana"/>
          <w:sz w:val="20"/>
          <w:szCs w:val="20"/>
          <w:lang w:val="es-CO"/>
        </w:rPr>
        <w:t>. Para hacerlo, las entidades deben aplicar los factores de riesgo y las reducciones en los precios de sus activos correspondientes a cada uno de los escenarios. El impacto de las pruebas bajo ambos escenarios se debe evaluar sobre los estados financieros de acuerdo con la clasificación contable que tengan las inversiones. Los valores de las variables con base en las cuales se determinen los precios de los activos, que la SFC no suministre, deben ser coherentes con los escenarios propuestos.</w:t>
      </w:r>
    </w:p>
    <w:p w14:paraId="68F0A1F3" w14:textId="77777777" w:rsidR="00340FFE" w:rsidRDefault="00340FFE" w:rsidP="00D557C1">
      <w:pPr>
        <w:pStyle w:val="Normal9pt"/>
        <w:numPr>
          <w:ilvl w:val="0"/>
          <w:numId w:val="0"/>
        </w:numPr>
        <w:rPr>
          <w:rFonts w:ascii="Verdana" w:hAnsi="Verdana"/>
          <w:sz w:val="20"/>
          <w:szCs w:val="20"/>
          <w:lang w:val="es-CO"/>
        </w:rPr>
      </w:pPr>
    </w:p>
    <w:p w14:paraId="7281D2A6"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24</w:t>
      </w:r>
      <w:r w:rsidRPr="007C56A4">
        <w:rPr>
          <w:rFonts w:ascii="Verdana" w:hAnsi="Verdana"/>
          <w:spacing w:val="0"/>
          <w:sz w:val="20"/>
          <w:szCs w:val="20"/>
          <w:lang w:val="es-CO"/>
        </w:rPr>
        <w:t>.</w:t>
      </w:r>
    </w:p>
    <w:p w14:paraId="797B0F4E" w14:textId="77777777" w:rsidR="00222168" w:rsidRPr="00D557C1" w:rsidRDefault="00222168"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las entidades del </w:t>
      </w:r>
      <w:r w:rsidR="00F34310" w:rsidRPr="00D557C1">
        <w:rPr>
          <w:rFonts w:ascii="Verdana" w:hAnsi="Verdana"/>
          <w:sz w:val="20"/>
          <w:szCs w:val="20"/>
          <w:lang w:val="es-CO"/>
        </w:rPr>
        <w:t xml:space="preserve">Grupo 2 </w:t>
      </w:r>
      <w:r w:rsidR="003E3BE2" w:rsidRPr="00D557C1">
        <w:rPr>
          <w:rFonts w:ascii="Verdana" w:hAnsi="Verdana"/>
          <w:sz w:val="20"/>
          <w:szCs w:val="20"/>
          <w:lang w:val="es-CO"/>
        </w:rPr>
        <w:t>que tengan como</w:t>
      </w:r>
      <w:r w:rsidR="00F34310" w:rsidRPr="00D557C1">
        <w:rPr>
          <w:rFonts w:ascii="Verdana" w:hAnsi="Verdana"/>
          <w:sz w:val="20"/>
          <w:szCs w:val="20"/>
          <w:lang w:val="es-CO"/>
        </w:rPr>
        <w:t xml:space="preserve"> grupo de activos </w:t>
      </w:r>
      <w:r w:rsidR="003E3BE2" w:rsidRPr="00D557C1">
        <w:rPr>
          <w:rFonts w:ascii="Verdana" w:hAnsi="Verdana"/>
          <w:sz w:val="20"/>
          <w:szCs w:val="20"/>
          <w:lang w:val="es-CO"/>
        </w:rPr>
        <w:t>significativo</w:t>
      </w:r>
      <w:r w:rsidR="00302C37" w:rsidRPr="00D557C1">
        <w:rPr>
          <w:rFonts w:ascii="Verdana" w:hAnsi="Verdana"/>
          <w:sz w:val="20"/>
          <w:szCs w:val="20"/>
          <w:lang w:val="es-CO"/>
        </w:rPr>
        <w:t xml:space="preserve"> </w:t>
      </w:r>
      <w:r w:rsidR="00F34310" w:rsidRPr="00D557C1">
        <w:rPr>
          <w:rFonts w:ascii="Verdana" w:hAnsi="Verdana"/>
          <w:sz w:val="20"/>
          <w:szCs w:val="20"/>
          <w:lang w:val="es-CO"/>
        </w:rPr>
        <w:t>inversiones y operaciones con derivados</w:t>
      </w:r>
      <w:r w:rsidRPr="00D557C1">
        <w:rPr>
          <w:rFonts w:ascii="Verdana" w:hAnsi="Verdana"/>
          <w:sz w:val="20"/>
          <w:szCs w:val="20"/>
          <w:lang w:val="es-CO"/>
        </w:rPr>
        <w:t>, el riesgo de mercado</w:t>
      </w:r>
      <w:r w:rsidR="007722F2" w:rsidRPr="00D557C1">
        <w:rPr>
          <w:rFonts w:ascii="Verdana" w:hAnsi="Verdana"/>
          <w:sz w:val="20"/>
          <w:szCs w:val="20"/>
          <w:lang w:val="es-CO"/>
        </w:rPr>
        <w:t xml:space="preserve"> se debe proyectar sobre el total del rubro de inversiones y operaciones con derivados, evaluando el impacto de la transmisión de las fluctuaciones de los precios de los diferentes activos contenidas en los escenarios</w:t>
      </w:r>
      <w:r w:rsidRPr="00D557C1">
        <w:rPr>
          <w:rFonts w:ascii="Verdana" w:hAnsi="Verdana"/>
          <w:sz w:val="20"/>
          <w:szCs w:val="20"/>
          <w:lang w:val="es-CO"/>
        </w:rPr>
        <w:t>.</w:t>
      </w:r>
    </w:p>
    <w:p w14:paraId="01071DD9" w14:textId="77777777" w:rsidR="007A1355" w:rsidRDefault="007A1355" w:rsidP="00D557C1">
      <w:pPr>
        <w:pStyle w:val="Normal9pt"/>
        <w:numPr>
          <w:ilvl w:val="0"/>
          <w:numId w:val="0"/>
        </w:numPr>
        <w:rPr>
          <w:rFonts w:ascii="Verdana" w:hAnsi="Verdana"/>
          <w:sz w:val="20"/>
          <w:szCs w:val="20"/>
          <w:lang w:val="es-CO"/>
        </w:rPr>
      </w:pPr>
    </w:p>
    <w:p w14:paraId="0910C0B6" w14:textId="77777777" w:rsidR="00340FFE" w:rsidRPr="007C56A4" w:rsidRDefault="00340FFE" w:rsidP="00340FFE">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25</w:t>
      </w:r>
      <w:r w:rsidRPr="007C56A4">
        <w:rPr>
          <w:rFonts w:ascii="Verdana" w:hAnsi="Verdana"/>
          <w:spacing w:val="0"/>
          <w:sz w:val="20"/>
          <w:szCs w:val="20"/>
          <w:lang w:val="es-CO"/>
        </w:rPr>
        <w:t>.</w:t>
      </w:r>
    </w:p>
    <w:p w14:paraId="62BDC668" w14:textId="77777777" w:rsidR="008260B6" w:rsidRPr="00D557C1" w:rsidRDefault="00D35812" w:rsidP="00D557C1">
      <w:pPr>
        <w:pStyle w:val="Normal9pt"/>
        <w:numPr>
          <w:ilvl w:val="0"/>
          <w:numId w:val="0"/>
        </w:numPr>
        <w:rPr>
          <w:rFonts w:ascii="Verdana" w:hAnsi="Verdana"/>
          <w:sz w:val="20"/>
          <w:szCs w:val="20"/>
          <w:lang w:val="es-CO"/>
        </w:rPr>
      </w:pPr>
      <w:r w:rsidRPr="00D557C1">
        <w:rPr>
          <w:rFonts w:ascii="Verdana" w:hAnsi="Verdana"/>
          <w:sz w:val="20"/>
          <w:szCs w:val="20"/>
          <w:lang w:val="es-CO"/>
        </w:rPr>
        <w:t>De acuerdo con estos principios, en las pruebas</w:t>
      </w:r>
      <w:r w:rsidR="00FD0E61" w:rsidRPr="00D557C1">
        <w:rPr>
          <w:rFonts w:ascii="Verdana" w:hAnsi="Verdana"/>
          <w:sz w:val="20"/>
          <w:szCs w:val="20"/>
          <w:lang w:val="es-CO"/>
        </w:rPr>
        <w:t xml:space="preserve"> de resistencia </w:t>
      </w:r>
      <w:r w:rsidR="00F005DD" w:rsidRPr="00D557C1">
        <w:rPr>
          <w:rFonts w:ascii="Verdana" w:hAnsi="Verdana"/>
          <w:sz w:val="20"/>
          <w:szCs w:val="20"/>
          <w:lang w:val="es-CO"/>
        </w:rPr>
        <w:t>las entidades</w:t>
      </w:r>
      <w:r w:rsidR="00FD0E61" w:rsidRPr="00D557C1">
        <w:rPr>
          <w:rFonts w:ascii="Verdana" w:hAnsi="Verdana"/>
          <w:sz w:val="20"/>
          <w:szCs w:val="20"/>
          <w:lang w:val="es-CO"/>
        </w:rPr>
        <w:t xml:space="preserve"> debe</w:t>
      </w:r>
      <w:r w:rsidRPr="00D557C1">
        <w:rPr>
          <w:rFonts w:ascii="Verdana" w:hAnsi="Verdana"/>
          <w:sz w:val="20"/>
          <w:szCs w:val="20"/>
          <w:lang w:val="es-CO"/>
        </w:rPr>
        <w:t xml:space="preserve">n evaluar el impacto en </w:t>
      </w:r>
      <w:r w:rsidR="009A3399" w:rsidRPr="00D557C1">
        <w:rPr>
          <w:rFonts w:ascii="Verdana" w:hAnsi="Verdana"/>
          <w:sz w:val="20"/>
          <w:szCs w:val="20"/>
          <w:lang w:val="es-CO"/>
        </w:rPr>
        <w:t>el</w:t>
      </w:r>
      <w:r w:rsidR="00A22625" w:rsidRPr="00D557C1">
        <w:rPr>
          <w:rFonts w:ascii="Verdana" w:hAnsi="Verdana"/>
          <w:sz w:val="20"/>
          <w:szCs w:val="20"/>
          <w:lang w:val="es-CO"/>
        </w:rPr>
        <w:t xml:space="preserve"> libro de tesorería </w:t>
      </w:r>
      <w:r w:rsidR="00F005DD" w:rsidRPr="00D557C1">
        <w:rPr>
          <w:rFonts w:ascii="Verdana" w:hAnsi="Verdana"/>
          <w:sz w:val="20"/>
          <w:szCs w:val="20"/>
          <w:lang w:val="es-CO"/>
        </w:rPr>
        <w:t xml:space="preserve">para </w:t>
      </w:r>
      <w:r w:rsidRPr="00D557C1">
        <w:rPr>
          <w:rFonts w:ascii="Verdana" w:hAnsi="Verdana"/>
          <w:sz w:val="20"/>
          <w:szCs w:val="20"/>
          <w:lang w:val="es-CO"/>
        </w:rPr>
        <w:t xml:space="preserve">cada uno de los escenarios propuestos, junto con los efectos en sus </w:t>
      </w:r>
      <w:r w:rsidR="00E90DA9" w:rsidRPr="00D557C1">
        <w:rPr>
          <w:rFonts w:ascii="Verdana" w:hAnsi="Verdana"/>
          <w:sz w:val="20"/>
          <w:szCs w:val="20"/>
          <w:lang w:val="es-CO"/>
        </w:rPr>
        <w:t>estados financieros</w:t>
      </w:r>
      <w:r w:rsidRPr="00D557C1">
        <w:rPr>
          <w:rFonts w:ascii="Verdana" w:hAnsi="Verdana"/>
          <w:sz w:val="20"/>
          <w:szCs w:val="20"/>
          <w:lang w:val="es-CO"/>
        </w:rPr>
        <w:t xml:space="preserve">. Para este propósito deben suponer que la desvalorización de los activos se presenta </w:t>
      </w:r>
      <w:r w:rsidR="00FD0E61" w:rsidRPr="00D557C1">
        <w:rPr>
          <w:rFonts w:ascii="Verdana" w:hAnsi="Verdana"/>
          <w:sz w:val="20"/>
          <w:szCs w:val="20"/>
          <w:lang w:val="es-CO"/>
        </w:rPr>
        <w:t>sobre el portafolio vigente en</w:t>
      </w:r>
      <w:r w:rsidRPr="00D557C1">
        <w:rPr>
          <w:rFonts w:ascii="Verdana" w:hAnsi="Verdana"/>
          <w:sz w:val="20"/>
          <w:szCs w:val="20"/>
          <w:lang w:val="es-CO"/>
        </w:rPr>
        <w:t xml:space="preserve"> la fecha </w:t>
      </w:r>
      <w:r w:rsidR="00FD0E61" w:rsidRPr="00D557C1">
        <w:rPr>
          <w:rFonts w:ascii="Verdana" w:hAnsi="Verdana"/>
          <w:sz w:val="20"/>
          <w:szCs w:val="20"/>
          <w:lang w:val="es-CO"/>
        </w:rPr>
        <w:t xml:space="preserve">de </w:t>
      </w:r>
      <w:r w:rsidR="00791AEA" w:rsidRPr="00D557C1">
        <w:rPr>
          <w:rFonts w:ascii="Verdana" w:hAnsi="Verdana"/>
          <w:sz w:val="20"/>
          <w:szCs w:val="20"/>
          <w:lang w:val="es-CO"/>
        </w:rPr>
        <w:t>inici</w:t>
      </w:r>
      <w:r w:rsidR="00642D3A" w:rsidRPr="00D557C1">
        <w:rPr>
          <w:rFonts w:ascii="Verdana" w:hAnsi="Verdana"/>
          <w:sz w:val="20"/>
          <w:szCs w:val="20"/>
          <w:lang w:val="es-CO"/>
        </w:rPr>
        <w:t>o</w:t>
      </w:r>
      <w:r w:rsidR="00791AEA" w:rsidRPr="00D557C1">
        <w:rPr>
          <w:rFonts w:ascii="Verdana" w:hAnsi="Verdana"/>
          <w:sz w:val="20"/>
          <w:szCs w:val="20"/>
          <w:lang w:val="es-CO"/>
        </w:rPr>
        <w:t xml:space="preserve"> </w:t>
      </w:r>
      <w:r w:rsidR="00FD0E61" w:rsidRPr="00D557C1">
        <w:rPr>
          <w:rFonts w:ascii="Verdana" w:hAnsi="Verdana"/>
          <w:sz w:val="20"/>
          <w:szCs w:val="20"/>
          <w:lang w:val="es-CO"/>
        </w:rPr>
        <w:t>de las pruebas</w:t>
      </w:r>
      <w:r w:rsidRPr="00D557C1">
        <w:rPr>
          <w:rFonts w:ascii="Verdana" w:hAnsi="Verdana"/>
          <w:sz w:val="20"/>
          <w:szCs w:val="20"/>
          <w:lang w:val="es-CO"/>
        </w:rPr>
        <w:t xml:space="preserve">. </w:t>
      </w:r>
      <w:r w:rsidR="00C53835" w:rsidRPr="00D557C1">
        <w:rPr>
          <w:rFonts w:ascii="Verdana" w:hAnsi="Verdana"/>
          <w:sz w:val="20"/>
          <w:szCs w:val="20"/>
          <w:lang w:val="es-CO"/>
        </w:rPr>
        <w:t xml:space="preserve">No deben suponer nuevas coberturas, ventas y/o desmontes de posiciones, reclasificación de inversiones, </w:t>
      </w:r>
      <w:r w:rsidR="00892498" w:rsidRPr="00D557C1">
        <w:rPr>
          <w:rFonts w:ascii="Verdana" w:hAnsi="Verdana"/>
          <w:sz w:val="20"/>
          <w:szCs w:val="20"/>
          <w:lang w:val="es-CO"/>
        </w:rPr>
        <w:t xml:space="preserve">gestión </w:t>
      </w:r>
      <w:r w:rsidR="00E60CB2" w:rsidRPr="00D557C1">
        <w:rPr>
          <w:rFonts w:ascii="Verdana" w:hAnsi="Verdana"/>
          <w:sz w:val="20"/>
          <w:szCs w:val="20"/>
          <w:lang w:val="es-CO"/>
        </w:rPr>
        <w:t xml:space="preserve">activa </w:t>
      </w:r>
      <w:r w:rsidR="00892498" w:rsidRPr="00D557C1">
        <w:rPr>
          <w:rFonts w:ascii="Verdana" w:hAnsi="Verdana"/>
          <w:sz w:val="20"/>
          <w:szCs w:val="20"/>
          <w:lang w:val="es-CO"/>
        </w:rPr>
        <w:t xml:space="preserve">de portafolio, </w:t>
      </w:r>
      <w:r w:rsidR="00C53835" w:rsidRPr="00D557C1">
        <w:rPr>
          <w:rFonts w:ascii="Verdana" w:hAnsi="Verdana"/>
          <w:sz w:val="20"/>
          <w:szCs w:val="20"/>
          <w:lang w:val="es-CO"/>
        </w:rPr>
        <w:t>ni ninguna otra acción que mitigue el efecto adverso en la evaluación del impacto de los escenarios suministrados</w:t>
      </w:r>
      <w:r w:rsidRPr="00D557C1">
        <w:rPr>
          <w:rFonts w:ascii="Verdana" w:hAnsi="Verdana"/>
          <w:sz w:val="20"/>
          <w:szCs w:val="20"/>
          <w:lang w:val="es-CO"/>
        </w:rPr>
        <w:t xml:space="preserve">. Las inversiones sobre las cuales exista un flujo contractual con cumplimiento </w:t>
      </w:r>
      <w:r w:rsidR="00FA2475" w:rsidRPr="00D557C1">
        <w:rPr>
          <w:rFonts w:ascii="Verdana" w:hAnsi="Verdana"/>
          <w:sz w:val="20"/>
          <w:szCs w:val="20"/>
          <w:lang w:val="es-CO"/>
        </w:rPr>
        <w:t xml:space="preserve">dentro del horizonte del </w:t>
      </w:r>
      <w:proofErr w:type="gramStart"/>
      <w:r w:rsidR="00FA2475" w:rsidRPr="00D557C1">
        <w:rPr>
          <w:rFonts w:ascii="Verdana" w:hAnsi="Verdana"/>
          <w:sz w:val="20"/>
          <w:szCs w:val="20"/>
          <w:lang w:val="es-CO"/>
        </w:rPr>
        <w:t>ejercicio</w:t>
      </w:r>
      <w:r w:rsidRPr="00D557C1">
        <w:rPr>
          <w:rFonts w:ascii="Verdana" w:hAnsi="Verdana"/>
          <w:sz w:val="20"/>
          <w:szCs w:val="20"/>
          <w:lang w:val="es-CO"/>
        </w:rPr>
        <w:t>,</w:t>
      </w:r>
      <w:proofErr w:type="gramEnd"/>
      <w:r w:rsidRPr="00D557C1">
        <w:rPr>
          <w:rFonts w:ascii="Verdana" w:hAnsi="Verdana"/>
          <w:sz w:val="20"/>
          <w:szCs w:val="20"/>
          <w:lang w:val="es-CO"/>
        </w:rPr>
        <w:t xml:space="preserve"> serán reemplazadas </w:t>
      </w:r>
      <w:r w:rsidR="00D736B3" w:rsidRPr="00D557C1">
        <w:rPr>
          <w:rFonts w:ascii="Verdana" w:hAnsi="Verdana"/>
          <w:sz w:val="20"/>
          <w:szCs w:val="20"/>
          <w:lang w:val="es-CO"/>
        </w:rPr>
        <w:t>por instrumentos financieros del mismo tipo y maduración que tenían en el año base de realización de las pruebas</w:t>
      </w:r>
      <w:r w:rsidR="00A3255F" w:rsidRPr="00D557C1">
        <w:rPr>
          <w:rFonts w:ascii="Verdana" w:hAnsi="Verdana"/>
          <w:sz w:val="20"/>
          <w:szCs w:val="20"/>
          <w:lang w:val="es-CO"/>
        </w:rPr>
        <w:t xml:space="preserve"> teniendo en cuenta</w:t>
      </w:r>
      <w:r w:rsidR="000B15B1" w:rsidRPr="00D557C1">
        <w:rPr>
          <w:rFonts w:ascii="Verdana" w:hAnsi="Verdana"/>
          <w:sz w:val="20"/>
          <w:szCs w:val="20"/>
          <w:lang w:val="es-CO"/>
        </w:rPr>
        <w:t xml:space="preserve"> las condiciones de mercado según</w:t>
      </w:r>
      <w:r w:rsidR="00A3255F" w:rsidRPr="00D557C1">
        <w:rPr>
          <w:rFonts w:ascii="Verdana" w:hAnsi="Verdana"/>
          <w:sz w:val="20"/>
          <w:szCs w:val="20"/>
          <w:lang w:val="es-CO"/>
        </w:rPr>
        <w:t xml:space="preserve"> los correspondientes choques provistos por la SFC</w:t>
      </w:r>
      <w:r w:rsidRPr="00D557C1">
        <w:rPr>
          <w:rFonts w:ascii="Verdana" w:hAnsi="Verdana"/>
          <w:sz w:val="20"/>
          <w:szCs w:val="20"/>
          <w:lang w:val="es-CO"/>
        </w:rPr>
        <w:t>.</w:t>
      </w:r>
      <w:r w:rsidR="00F1538E" w:rsidRPr="00D557C1">
        <w:rPr>
          <w:rFonts w:ascii="Verdana" w:hAnsi="Verdana"/>
          <w:sz w:val="20"/>
          <w:szCs w:val="20"/>
          <w:lang w:val="es-CO"/>
        </w:rPr>
        <w:t xml:space="preserve"> En la proyección que incorpore las acciones para mitigar los riesgos, la estructura del libro </w:t>
      </w:r>
      <w:r w:rsidR="0057199B" w:rsidRPr="00D557C1">
        <w:rPr>
          <w:rFonts w:ascii="Verdana" w:hAnsi="Verdana"/>
          <w:sz w:val="20"/>
          <w:szCs w:val="20"/>
          <w:lang w:val="es-CO"/>
        </w:rPr>
        <w:t xml:space="preserve">de </w:t>
      </w:r>
      <w:r w:rsidR="00F1538E" w:rsidRPr="00D557C1">
        <w:rPr>
          <w:rFonts w:ascii="Verdana" w:hAnsi="Verdana"/>
          <w:sz w:val="20"/>
          <w:szCs w:val="20"/>
          <w:lang w:val="es-CO"/>
        </w:rPr>
        <w:t>tesorería podrá cambia</w:t>
      </w:r>
      <w:r w:rsidR="008260B6" w:rsidRPr="00D557C1">
        <w:rPr>
          <w:rFonts w:ascii="Verdana" w:hAnsi="Verdana"/>
          <w:sz w:val="20"/>
          <w:szCs w:val="20"/>
          <w:lang w:val="es-CO"/>
        </w:rPr>
        <w:t>r sólo a partir del segundo año.</w:t>
      </w:r>
    </w:p>
    <w:p w14:paraId="25716348" w14:textId="77777777" w:rsidR="008260B6" w:rsidRDefault="008260B6" w:rsidP="00D557C1">
      <w:pPr>
        <w:pStyle w:val="Normal9pt"/>
        <w:numPr>
          <w:ilvl w:val="0"/>
          <w:numId w:val="0"/>
        </w:numPr>
        <w:rPr>
          <w:rFonts w:ascii="Verdana" w:hAnsi="Verdana"/>
          <w:sz w:val="20"/>
          <w:szCs w:val="20"/>
          <w:lang w:val="es-CO"/>
        </w:rPr>
      </w:pPr>
    </w:p>
    <w:p w14:paraId="09FA74B6"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26</w:t>
      </w:r>
      <w:r w:rsidRPr="007C56A4">
        <w:rPr>
          <w:rFonts w:ascii="Verdana" w:hAnsi="Verdana"/>
          <w:spacing w:val="0"/>
          <w:sz w:val="20"/>
          <w:szCs w:val="20"/>
          <w:lang w:val="es-CO"/>
        </w:rPr>
        <w:t>.</w:t>
      </w:r>
    </w:p>
    <w:p w14:paraId="685C1C64" w14:textId="77777777" w:rsidR="00D35812" w:rsidRPr="00D557C1" w:rsidRDefault="00D35812"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Si como resultado de la implementación del plan de negocio </w:t>
      </w:r>
      <w:r w:rsidR="00F005DD" w:rsidRPr="00D557C1">
        <w:rPr>
          <w:rFonts w:ascii="Verdana" w:hAnsi="Verdana"/>
          <w:sz w:val="20"/>
          <w:szCs w:val="20"/>
          <w:lang w:val="es-CO"/>
        </w:rPr>
        <w:t>las entidades</w:t>
      </w:r>
      <w:r w:rsidRPr="00D557C1">
        <w:rPr>
          <w:rFonts w:ascii="Verdana" w:hAnsi="Verdana"/>
          <w:sz w:val="20"/>
          <w:szCs w:val="20"/>
          <w:lang w:val="es-CO"/>
        </w:rPr>
        <w:t xml:space="preserve"> tienen programada la realización de nuevas inversiones, coberturas, liquidación de posiciones o cualquier cambio en la estructura de</w:t>
      </w:r>
      <w:r w:rsidR="00A00479" w:rsidRPr="00D557C1">
        <w:rPr>
          <w:rFonts w:ascii="Verdana" w:hAnsi="Verdana"/>
          <w:sz w:val="20"/>
          <w:szCs w:val="20"/>
          <w:lang w:val="es-CO"/>
        </w:rPr>
        <w:t>l</w:t>
      </w:r>
      <w:r w:rsidRPr="00D557C1">
        <w:rPr>
          <w:rFonts w:ascii="Verdana" w:hAnsi="Verdana"/>
          <w:sz w:val="20"/>
          <w:szCs w:val="20"/>
          <w:lang w:val="es-CO"/>
        </w:rPr>
        <w:t xml:space="preserve"> portafolio, estas operaciones serán incorporadas en el ejercicio una vez se h</w:t>
      </w:r>
      <w:r w:rsidR="00FA2475" w:rsidRPr="00D557C1">
        <w:rPr>
          <w:rFonts w:ascii="Verdana" w:hAnsi="Verdana"/>
          <w:sz w:val="20"/>
          <w:szCs w:val="20"/>
          <w:lang w:val="es-CO"/>
        </w:rPr>
        <w:t>aya materializado el efecto de c</w:t>
      </w:r>
      <w:r w:rsidRPr="00D557C1">
        <w:rPr>
          <w:rFonts w:ascii="Verdana" w:hAnsi="Verdana"/>
          <w:sz w:val="20"/>
          <w:szCs w:val="20"/>
          <w:lang w:val="es-CO"/>
        </w:rPr>
        <w:t>ada uno de los escenarios. Las operaciones que se incorporen solo podrán corresponder a la ejecución del plan de negocio y por lo tanto</w:t>
      </w:r>
      <w:r w:rsidR="00866542" w:rsidRPr="00D557C1">
        <w:rPr>
          <w:rFonts w:ascii="Verdana" w:hAnsi="Verdana"/>
          <w:sz w:val="20"/>
          <w:szCs w:val="20"/>
          <w:lang w:val="es-CO"/>
        </w:rPr>
        <w:t>,</w:t>
      </w:r>
      <w:r w:rsidRPr="00D557C1">
        <w:rPr>
          <w:rFonts w:ascii="Verdana" w:hAnsi="Verdana"/>
          <w:sz w:val="20"/>
          <w:szCs w:val="20"/>
          <w:lang w:val="es-CO"/>
        </w:rPr>
        <w:t xml:space="preserve"> serán las mismas para cada uno de los escenarios </w:t>
      </w:r>
      <w:r w:rsidR="00A00479" w:rsidRPr="00D557C1">
        <w:rPr>
          <w:rFonts w:ascii="Verdana" w:hAnsi="Verdana"/>
          <w:sz w:val="20"/>
          <w:szCs w:val="20"/>
          <w:lang w:val="es-CO"/>
        </w:rPr>
        <w:t>suministrados</w:t>
      </w:r>
      <w:r w:rsidR="0072600F" w:rsidRPr="00D557C1">
        <w:rPr>
          <w:rFonts w:ascii="Verdana" w:hAnsi="Verdana"/>
          <w:sz w:val="20"/>
          <w:szCs w:val="20"/>
          <w:lang w:val="es-CO"/>
        </w:rPr>
        <w:t xml:space="preserve">, excepto en el caso de la proyección con acciones para mitigar los riesgos, en la cual se podrán realizar operaciones diferentes a las establecidas en </w:t>
      </w:r>
      <w:r w:rsidR="00866542" w:rsidRPr="00D557C1">
        <w:rPr>
          <w:rFonts w:ascii="Verdana" w:hAnsi="Verdana"/>
          <w:sz w:val="20"/>
          <w:szCs w:val="20"/>
          <w:lang w:val="es-CO"/>
        </w:rPr>
        <w:t>é</w:t>
      </w:r>
      <w:r w:rsidR="0072600F" w:rsidRPr="00D557C1">
        <w:rPr>
          <w:rFonts w:ascii="Verdana" w:hAnsi="Verdana"/>
          <w:sz w:val="20"/>
          <w:szCs w:val="20"/>
          <w:lang w:val="es-CO"/>
        </w:rPr>
        <w:t>l a partir del segundo año.</w:t>
      </w:r>
      <w:r w:rsidR="009A3399" w:rsidRPr="00D557C1">
        <w:rPr>
          <w:rFonts w:ascii="Verdana" w:hAnsi="Verdana"/>
          <w:sz w:val="20"/>
          <w:szCs w:val="20"/>
          <w:lang w:val="es-CO"/>
        </w:rPr>
        <w:t xml:space="preserve"> </w:t>
      </w:r>
    </w:p>
    <w:p w14:paraId="30BA23F6" w14:textId="77777777" w:rsidR="008260B6" w:rsidRPr="00D557C1" w:rsidRDefault="008260B6" w:rsidP="00D557C1">
      <w:pPr>
        <w:pStyle w:val="Normal9pt"/>
        <w:numPr>
          <w:ilvl w:val="0"/>
          <w:numId w:val="0"/>
        </w:numPr>
        <w:rPr>
          <w:rFonts w:ascii="Verdana" w:hAnsi="Verdana"/>
          <w:sz w:val="20"/>
          <w:szCs w:val="20"/>
          <w:lang w:val="es-CO"/>
        </w:rPr>
      </w:pPr>
    </w:p>
    <w:p w14:paraId="700262F7" w14:textId="77777777" w:rsidR="00382698" w:rsidRPr="00107B98" w:rsidRDefault="00382698" w:rsidP="00B92F3C">
      <w:pPr>
        <w:pStyle w:val="Normal9pt"/>
        <w:numPr>
          <w:ilvl w:val="0"/>
          <w:numId w:val="12"/>
        </w:numPr>
        <w:ind w:left="284" w:hanging="284"/>
        <w:rPr>
          <w:rFonts w:ascii="Verdana" w:hAnsi="Verdana"/>
          <w:b/>
          <w:bCs/>
          <w:sz w:val="20"/>
          <w:szCs w:val="20"/>
          <w:lang w:val="es-CO"/>
        </w:rPr>
      </w:pPr>
      <w:r w:rsidRPr="00107B98">
        <w:rPr>
          <w:rFonts w:ascii="Verdana" w:hAnsi="Verdana"/>
          <w:b/>
          <w:bCs/>
          <w:sz w:val="20"/>
          <w:szCs w:val="20"/>
          <w:lang w:val="es-CO"/>
        </w:rPr>
        <w:t>Factores para evaluar el impacto de cada uno de los escenarios</w:t>
      </w:r>
    </w:p>
    <w:p w14:paraId="269B8C54" w14:textId="77777777" w:rsidR="008260B6" w:rsidRDefault="008260B6" w:rsidP="00D557C1">
      <w:pPr>
        <w:pStyle w:val="Normal9pt"/>
        <w:numPr>
          <w:ilvl w:val="0"/>
          <w:numId w:val="0"/>
        </w:numPr>
        <w:rPr>
          <w:rFonts w:ascii="Verdana" w:hAnsi="Verdana"/>
          <w:sz w:val="20"/>
          <w:szCs w:val="20"/>
          <w:lang w:val="es-CO"/>
        </w:rPr>
      </w:pPr>
    </w:p>
    <w:p w14:paraId="386329E3"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27</w:t>
      </w:r>
      <w:r w:rsidRPr="007C56A4">
        <w:rPr>
          <w:rFonts w:ascii="Verdana" w:hAnsi="Verdana"/>
          <w:spacing w:val="0"/>
          <w:sz w:val="20"/>
          <w:szCs w:val="20"/>
          <w:lang w:val="es-CO"/>
        </w:rPr>
        <w:t>.</w:t>
      </w:r>
    </w:p>
    <w:p w14:paraId="4F4ACC38" w14:textId="77777777" w:rsidR="00107B98" w:rsidRPr="00D557C1" w:rsidRDefault="00107B98" w:rsidP="00D557C1">
      <w:pPr>
        <w:pStyle w:val="Normal9pt"/>
        <w:numPr>
          <w:ilvl w:val="0"/>
          <w:numId w:val="0"/>
        </w:numPr>
        <w:rPr>
          <w:rFonts w:ascii="Verdana" w:hAnsi="Verdana"/>
          <w:sz w:val="20"/>
          <w:szCs w:val="20"/>
          <w:lang w:val="es-CO"/>
        </w:rPr>
      </w:pPr>
      <w:r>
        <w:rPr>
          <w:rFonts w:ascii="Verdana" w:hAnsi="Verdana"/>
          <w:sz w:val="20"/>
          <w:szCs w:val="20"/>
          <w:lang w:val="es-CO"/>
        </w:rPr>
        <w:lastRenderedPageBreak/>
        <w:t>Para evaluar el impacto de cada uno de los escenarios propuestos se deben tener en cuenta las siguientes instrucciones:</w:t>
      </w:r>
    </w:p>
    <w:p w14:paraId="0389699F" w14:textId="77777777" w:rsidR="00382698" w:rsidRPr="00D557C1" w:rsidRDefault="00382698" w:rsidP="00D557C1">
      <w:pPr>
        <w:pStyle w:val="Normal9pt"/>
        <w:numPr>
          <w:ilvl w:val="0"/>
          <w:numId w:val="0"/>
        </w:numPr>
        <w:rPr>
          <w:rFonts w:ascii="Verdana" w:hAnsi="Verdana"/>
          <w:sz w:val="20"/>
          <w:szCs w:val="20"/>
          <w:lang w:val="es-CO"/>
        </w:rPr>
      </w:pPr>
    </w:p>
    <w:p w14:paraId="49A5B41B" w14:textId="77777777" w:rsidR="00D35812" w:rsidRPr="00D557C1" w:rsidRDefault="00BA0459" w:rsidP="00B92F3C">
      <w:pPr>
        <w:pStyle w:val="Normal9pt"/>
        <w:numPr>
          <w:ilvl w:val="0"/>
          <w:numId w:val="4"/>
        </w:numPr>
        <w:ind w:left="567" w:hanging="567"/>
        <w:rPr>
          <w:rFonts w:ascii="Verdana" w:hAnsi="Verdana"/>
          <w:sz w:val="20"/>
          <w:szCs w:val="20"/>
          <w:lang w:val="es-CO"/>
        </w:rPr>
      </w:pPr>
      <w:r w:rsidRPr="00D557C1">
        <w:rPr>
          <w:rFonts w:ascii="Verdana" w:hAnsi="Verdana"/>
          <w:sz w:val="20"/>
          <w:szCs w:val="20"/>
          <w:lang w:val="es-CO"/>
        </w:rPr>
        <w:t>Las entidades del Grupo 1 d</w:t>
      </w:r>
      <w:r w:rsidR="00D35812" w:rsidRPr="00D557C1">
        <w:rPr>
          <w:rFonts w:ascii="Verdana" w:hAnsi="Verdana"/>
          <w:sz w:val="20"/>
          <w:szCs w:val="20"/>
          <w:lang w:val="es-CO"/>
        </w:rPr>
        <w:t xml:space="preserve">eben estimar los siguientes factores para evaluar el impacto de cada uno de los escenarios en </w:t>
      </w:r>
      <w:r w:rsidR="009A3399" w:rsidRPr="00D557C1">
        <w:rPr>
          <w:rFonts w:ascii="Verdana" w:hAnsi="Verdana"/>
          <w:sz w:val="20"/>
          <w:szCs w:val="20"/>
          <w:lang w:val="es-CO"/>
        </w:rPr>
        <w:t>el</w:t>
      </w:r>
      <w:r w:rsidR="0072600F" w:rsidRPr="00D557C1">
        <w:rPr>
          <w:rFonts w:ascii="Verdana" w:hAnsi="Verdana"/>
          <w:sz w:val="20"/>
          <w:szCs w:val="20"/>
          <w:lang w:val="es-CO"/>
        </w:rPr>
        <w:t xml:space="preserve"> </w:t>
      </w:r>
      <w:r w:rsidR="00D35812" w:rsidRPr="00D557C1">
        <w:rPr>
          <w:rFonts w:ascii="Verdana" w:hAnsi="Verdana"/>
          <w:sz w:val="20"/>
          <w:szCs w:val="20"/>
          <w:lang w:val="es-CO"/>
        </w:rPr>
        <w:t>libro de tesorería:</w:t>
      </w:r>
    </w:p>
    <w:p w14:paraId="74FB4440" w14:textId="77777777" w:rsidR="007A1355" w:rsidRPr="00D557C1" w:rsidRDefault="007A1355" w:rsidP="00D557C1">
      <w:pPr>
        <w:pStyle w:val="Normal9pt"/>
        <w:numPr>
          <w:ilvl w:val="0"/>
          <w:numId w:val="0"/>
        </w:numPr>
        <w:rPr>
          <w:rFonts w:ascii="Verdana" w:hAnsi="Verdana"/>
          <w:sz w:val="20"/>
          <w:szCs w:val="20"/>
          <w:lang w:val="es-CO"/>
        </w:rPr>
      </w:pPr>
    </w:p>
    <w:p w14:paraId="66764049" w14:textId="77777777" w:rsidR="00D35812" w:rsidRPr="00D557C1" w:rsidRDefault="00D35812" w:rsidP="00B92F3C">
      <w:pPr>
        <w:pStyle w:val="Normal9pt"/>
        <w:numPr>
          <w:ilvl w:val="0"/>
          <w:numId w:val="5"/>
        </w:numPr>
        <w:rPr>
          <w:rFonts w:ascii="Verdana" w:hAnsi="Verdana"/>
          <w:sz w:val="20"/>
          <w:szCs w:val="20"/>
          <w:lang w:val="es-CO"/>
        </w:rPr>
      </w:pPr>
      <w:r w:rsidRPr="00107B98">
        <w:rPr>
          <w:rFonts w:ascii="Verdana" w:hAnsi="Verdana"/>
          <w:sz w:val="20"/>
          <w:szCs w:val="20"/>
          <w:lang w:val="es-CO"/>
        </w:rPr>
        <w:t>Valor de las inversione</w:t>
      </w:r>
      <w:r w:rsidR="00FD0E61" w:rsidRPr="00107B98">
        <w:rPr>
          <w:rFonts w:ascii="Verdana" w:hAnsi="Verdana"/>
          <w:sz w:val="20"/>
          <w:szCs w:val="20"/>
          <w:lang w:val="es-CO"/>
        </w:rPr>
        <w:t>s clasificadas como negociables</w:t>
      </w:r>
      <w:r w:rsidR="00107B98" w:rsidRPr="00107B98">
        <w:rPr>
          <w:rFonts w:ascii="Verdana" w:hAnsi="Verdana"/>
          <w:sz w:val="20"/>
          <w:szCs w:val="20"/>
          <w:lang w:val="es-CO"/>
        </w:rPr>
        <w:t xml:space="preserve">. </w:t>
      </w:r>
      <w:r w:rsidRPr="00D557C1">
        <w:rPr>
          <w:rFonts w:ascii="Verdana" w:hAnsi="Verdana"/>
          <w:sz w:val="20"/>
          <w:szCs w:val="20"/>
          <w:lang w:val="es-CO"/>
        </w:rPr>
        <w:t>Las entidades deben estimar el valor total de los activos clasificados como negociables que componen el libro de tesorería</w:t>
      </w:r>
      <w:r w:rsidR="00FA2475" w:rsidRPr="00D557C1">
        <w:rPr>
          <w:rFonts w:ascii="Verdana" w:hAnsi="Verdana"/>
          <w:sz w:val="20"/>
          <w:szCs w:val="20"/>
          <w:lang w:val="es-CO"/>
        </w:rPr>
        <w:t>,</w:t>
      </w:r>
      <w:r w:rsidRPr="00D557C1">
        <w:rPr>
          <w:rFonts w:ascii="Verdana" w:hAnsi="Verdana"/>
          <w:sz w:val="20"/>
          <w:szCs w:val="20"/>
          <w:lang w:val="es-CO"/>
        </w:rPr>
        <w:t xml:space="preserve"> </w:t>
      </w:r>
      <w:r w:rsidR="00FA2475" w:rsidRPr="00D557C1">
        <w:rPr>
          <w:rFonts w:ascii="Verdana" w:hAnsi="Verdana"/>
          <w:sz w:val="20"/>
          <w:szCs w:val="20"/>
          <w:lang w:val="es-CO"/>
        </w:rPr>
        <w:t>para cada escenario</w:t>
      </w:r>
      <w:r w:rsidRPr="00D557C1">
        <w:rPr>
          <w:rFonts w:ascii="Verdana" w:hAnsi="Verdana"/>
          <w:sz w:val="20"/>
          <w:szCs w:val="20"/>
          <w:lang w:val="es-CO"/>
        </w:rPr>
        <w:t xml:space="preserve">. Las estimaciones del valor razonable de cada uno de los activos deben ser consistentes con las variables que componen </w:t>
      </w:r>
      <w:r w:rsidR="002C5730" w:rsidRPr="00D557C1">
        <w:rPr>
          <w:rFonts w:ascii="Verdana" w:hAnsi="Verdana"/>
          <w:sz w:val="20"/>
          <w:szCs w:val="20"/>
          <w:lang w:val="es-CO"/>
        </w:rPr>
        <w:t>los</w:t>
      </w:r>
      <w:r w:rsidRPr="00D557C1">
        <w:rPr>
          <w:rFonts w:ascii="Verdana" w:hAnsi="Verdana"/>
          <w:sz w:val="20"/>
          <w:szCs w:val="20"/>
          <w:lang w:val="es-CO"/>
        </w:rPr>
        <w:t xml:space="preserve"> escenario</w:t>
      </w:r>
      <w:r w:rsidR="002C5730" w:rsidRPr="00D557C1">
        <w:rPr>
          <w:rFonts w:ascii="Verdana" w:hAnsi="Verdana"/>
          <w:sz w:val="20"/>
          <w:szCs w:val="20"/>
          <w:lang w:val="es-CO"/>
        </w:rPr>
        <w:t>s</w:t>
      </w:r>
      <w:r w:rsidRPr="00D557C1">
        <w:rPr>
          <w:rFonts w:ascii="Verdana" w:hAnsi="Verdana"/>
          <w:sz w:val="20"/>
          <w:szCs w:val="20"/>
          <w:lang w:val="es-CO"/>
        </w:rPr>
        <w:t xml:space="preserve"> </w:t>
      </w:r>
      <w:r w:rsidR="002C5730" w:rsidRPr="00D557C1">
        <w:rPr>
          <w:rFonts w:ascii="Verdana" w:hAnsi="Verdana"/>
          <w:sz w:val="20"/>
          <w:szCs w:val="20"/>
          <w:lang w:val="es-CO"/>
        </w:rPr>
        <w:t>suministrados</w:t>
      </w:r>
      <w:r w:rsidRPr="00D557C1">
        <w:rPr>
          <w:rFonts w:ascii="Verdana" w:hAnsi="Verdana"/>
          <w:sz w:val="20"/>
          <w:szCs w:val="20"/>
          <w:lang w:val="es-CO"/>
        </w:rPr>
        <w:t xml:space="preserve"> y no podrán suponer </w:t>
      </w:r>
      <w:r w:rsidR="00A9099C" w:rsidRPr="00D557C1">
        <w:rPr>
          <w:rFonts w:ascii="Verdana" w:hAnsi="Verdana"/>
          <w:sz w:val="20"/>
          <w:szCs w:val="20"/>
          <w:lang w:val="es-CO"/>
        </w:rPr>
        <w:t>unos comportamientos favorables inconsistentes</w:t>
      </w:r>
      <w:r w:rsidRPr="00D557C1">
        <w:rPr>
          <w:rFonts w:ascii="Verdana" w:hAnsi="Verdana"/>
          <w:sz w:val="20"/>
          <w:szCs w:val="20"/>
          <w:lang w:val="es-CO"/>
        </w:rPr>
        <w:t xml:space="preserve"> </w:t>
      </w:r>
      <w:r w:rsidR="00A9099C" w:rsidRPr="00D557C1">
        <w:rPr>
          <w:rFonts w:ascii="Verdana" w:hAnsi="Verdana"/>
          <w:sz w:val="20"/>
          <w:szCs w:val="20"/>
          <w:lang w:val="es-CO"/>
        </w:rPr>
        <w:t>con ellos</w:t>
      </w:r>
      <w:r w:rsidRPr="00D557C1">
        <w:rPr>
          <w:rFonts w:ascii="Verdana" w:hAnsi="Verdana"/>
          <w:sz w:val="20"/>
          <w:szCs w:val="20"/>
          <w:lang w:val="es-CO"/>
        </w:rPr>
        <w:t>. El impacto sobre el valor de los activos del libro de t</w:t>
      </w:r>
      <w:r w:rsidR="002C5730" w:rsidRPr="00D557C1">
        <w:rPr>
          <w:rFonts w:ascii="Verdana" w:hAnsi="Verdana"/>
          <w:sz w:val="20"/>
          <w:szCs w:val="20"/>
          <w:lang w:val="es-CO"/>
        </w:rPr>
        <w:t>esorería debe incorporarse en los estados financieros</w:t>
      </w:r>
      <w:r w:rsidRPr="00D557C1">
        <w:rPr>
          <w:rFonts w:ascii="Verdana" w:hAnsi="Verdana"/>
          <w:sz w:val="20"/>
          <w:szCs w:val="20"/>
          <w:lang w:val="es-CO"/>
        </w:rPr>
        <w:t>.</w:t>
      </w:r>
    </w:p>
    <w:p w14:paraId="618D263B" w14:textId="77777777" w:rsidR="007A1355" w:rsidRPr="00D557C1" w:rsidRDefault="007A1355" w:rsidP="00D557C1">
      <w:pPr>
        <w:pStyle w:val="Normal9pt"/>
        <w:numPr>
          <w:ilvl w:val="0"/>
          <w:numId w:val="0"/>
        </w:numPr>
        <w:rPr>
          <w:rFonts w:ascii="Verdana" w:hAnsi="Verdana"/>
          <w:sz w:val="20"/>
          <w:szCs w:val="20"/>
          <w:lang w:val="es-CO"/>
        </w:rPr>
      </w:pPr>
    </w:p>
    <w:p w14:paraId="7F008CFB" w14:textId="77777777" w:rsidR="00D35812" w:rsidRPr="00D557C1" w:rsidRDefault="00D35812" w:rsidP="00B92F3C">
      <w:pPr>
        <w:pStyle w:val="Normal9pt"/>
        <w:numPr>
          <w:ilvl w:val="0"/>
          <w:numId w:val="5"/>
        </w:numPr>
        <w:rPr>
          <w:rFonts w:ascii="Verdana" w:hAnsi="Verdana"/>
          <w:sz w:val="20"/>
          <w:szCs w:val="20"/>
          <w:lang w:val="es-CO"/>
        </w:rPr>
      </w:pPr>
      <w:r w:rsidRPr="00107B98">
        <w:rPr>
          <w:rFonts w:ascii="Verdana" w:hAnsi="Verdana"/>
          <w:sz w:val="20"/>
          <w:szCs w:val="20"/>
          <w:lang w:val="es-CO"/>
        </w:rPr>
        <w:t>Valor de las inversiones clasificadas</w:t>
      </w:r>
      <w:r w:rsidR="00FD0E61" w:rsidRPr="00107B98">
        <w:rPr>
          <w:rFonts w:ascii="Verdana" w:hAnsi="Verdana"/>
          <w:sz w:val="20"/>
          <w:szCs w:val="20"/>
          <w:lang w:val="es-CO"/>
        </w:rPr>
        <w:t xml:space="preserve"> como disponibles para la venta</w:t>
      </w:r>
      <w:r w:rsidR="00107B98" w:rsidRPr="00107B98">
        <w:rPr>
          <w:rFonts w:ascii="Verdana" w:hAnsi="Verdana"/>
          <w:sz w:val="20"/>
          <w:szCs w:val="20"/>
          <w:lang w:val="es-CO"/>
        </w:rPr>
        <w:t xml:space="preserve">. </w:t>
      </w:r>
      <w:r w:rsidR="00FA2475" w:rsidRPr="00D557C1">
        <w:rPr>
          <w:rFonts w:ascii="Verdana" w:hAnsi="Verdana"/>
          <w:sz w:val="20"/>
          <w:szCs w:val="20"/>
          <w:lang w:val="es-CO"/>
        </w:rPr>
        <w:t>L</w:t>
      </w:r>
      <w:r w:rsidRPr="00D557C1">
        <w:rPr>
          <w:rFonts w:ascii="Verdana" w:hAnsi="Verdana"/>
          <w:sz w:val="20"/>
          <w:szCs w:val="20"/>
          <w:lang w:val="es-CO"/>
        </w:rPr>
        <w:t>as entidades deben estimar el valor total de los activos clasificados como disponibles para la venta que componen el libro de tesorería</w:t>
      </w:r>
      <w:r w:rsidR="00FA2475" w:rsidRPr="00D557C1">
        <w:rPr>
          <w:rFonts w:ascii="Verdana" w:hAnsi="Verdana"/>
          <w:sz w:val="20"/>
          <w:szCs w:val="20"/>
          <w:lang w:val="es-CO"/>
        </w:rPr>
        <w:t>,</w:t>
      </w:r>
      <w:r w:rsidRPr="00D557C1">
        <w:rPr>
          <w:rFonts w:ascii="Verdana" w:hAnsi="Verdana"/>
          <w:sz w:val="20"/>
          <w:szCs w:val="20"/>
          <w:lang w:val="es-CO"/>
        </w:rPr>
        <w:t xml:space="preserve"> </w:t>
      </w:r>
      <w:r w:rsidR="00FA2475" w:rsidRPr="00D557C1">
        <w:rPr>
          <w:rFonts w:ascii="Verdana" w:hAnsi="Verdana"/>
          <w:sz w:val="20"/>
          <w:szCs w:val="20"/>
          <w:lang w:val="es-CO"/>
        </w:rPr>
        <w:t>para cada escenario</w:t>
      </w:r>
      <w:r w:rsidRPr="00D557C1">
        <w:rPr>
          <w:rFonts w:ascii="Verdana" w:hAnsi="Verdana"/>
          <w:sz w:val="20"/>
          <w:szCs w:val="20"/>
          <w:lang w:val="es-CO"/>
        </w:rPr>
        <w:t xml:space="preserve">. Las estimaciones del valor razonable y del costo amortizado de las inversiones deben ser consistentes con las variables que componen los escenarios </w:t>
      </w:r>
      <w:r w:rsidR="0033367D" w:rsidRPr="00D557C1">
        <w:rPr>
          <w:rFonts w:ascii="Verdana" w:hAnsi="Verdana"/>
          <w:sz w:val="20"/>
          <w:szCs w:val="20"/>
          <w:lang w:val="es-CO"/>
        </w:rPr>
        <w:t>suministrados</w:t>
      </w:r>
      <w:r w:rsidRPr="00D557C1">
        <w:rPr>
          <w:rFonts w:ascii="Verdana" w:hAnsi="Verdana"/>
          <w:sz w:val="20"/>
          <w:szCs w:val="20"/>
          <w:lang w:val="es-CO"/>
        </w:rPr>
        <w:t xml:space="preserve"> y no podrán suponer un comportamiento favorable que no </w:t>
      </w:r>
      <w:r w:rsidR="0033367D" w:rsidRPr="00D557C1">
        <w:rPr>
          <w:rFonts w:ascii="Verdana" w:hAnsi="Verdana"/>
          <w:sz w:val="20"/>
          <w:szCs w:val="20"/>
          <w:lang w:val="es-CO"/>
        </w:rPr>
        <w:t>sea consistente con ellos</w:t>
      </w:r>
      <w:r w:rsidRPr="00D557C1">
        <w:rPr>
          <w:rFonts w:ascii="Verdana" w:hAnsi="Verdana"/>
          <w:sz w:val="20"/>
          <w:szCs w:val="20"/>
          <w:lang w:val="es-CO"/>
        </w:rPr>
        <w:t xml:space="preserve">. El impacto </w:t>
      </w:r>
      <w:r w:rsidR="005E77F6" w:rsidRPr="00D557C1">
        <w:rPr>
          <w:rFonts w:ascii="Verdana" w:hAnsi="Verdana"/>
          <w:sz w:val="20"/>
          <w:szCs w:val="20"/>
          <w:lang w:val="es-CO"/>
        </w:rPr>
        <w:t xml:space="preserve">de los escenarios </w:t>
      </w:r>
      <w:r w:rsidRPr="00D557C1">
        <w:rPr>
          <w:rFonts w:ascii="Verdana" w:hAnsi="Verdana"/>
          <w:sz w:val="20"/>
          <w:szCs w:val="20"/>
          <w:lang w:val="es-CO"/>
        </w:rPr>
        <w:t xml:space="preserve">sobre el valor de los activos del libro de tesorería debe incorporarse en </w:t>
      </w:r>
      <w:r w:rsidR="007E463B" w:rsidRPr="00D557C1">
        <w:rPr>
          <w:rFonts w:ascii="Verdana" w:hAnsi="Verdana"/>
          <w:sz w:val="20"/>
          <w:szCs w:val="20"/>
          <w:lang w:val="es-CO"/>
        </w:rPr>
        <w:t>los estados financieros.</w:t>
      </w:r>
      <w:r w:rsidR="005E77F6" w:rsidRPr="00D557C1">
        <w:rPr>
          <w:rFonts w:ascii="Verdana" w:hAnsi="Verdana"/>
          <w:sz w:val="20"/>
          <w:szCs w:val="20"/>
          <w:lang w:val="es-CO"/>
        </w:rPr>
        <w:t xml:space="preserve"> </w:t>
      </w:r>
    </w:p>
    <w:p w14:paraId="532D7A6F" w14:textId="77777777" w:rsidR="00FD0E61" w:rsidRPr="00D557C1" w:rsidRDefault="00FD0E61" w:rsidP="00D557C1">
      <w:pPr>
        <w:pStyle w:val="Normal9pt"/>
        <w:numPr>
          <w:ilvl w:val="0"/>
          <w:numId w:val="0"/>
        </w:numPr>
        <w:rPr>
          <w:rFonts w:ascii="Verdana" w:hAnsi="Verdana"/>
          <w:sz w:val="20"/>
          <w:szCs w:val="20"/>
          <w:lang w:val="es-CO"/>
        </w:rPr>
      </w:pPr>
    </w:p>
    <w:p w14:paraId="12BEDAE7" w14:textId="77777777" w:rsidR="00EB09C1" w:rsidRPr="00D557C1" w:rsidRDefault="002C5730" w:rsidP="00B92F3C">
      <w:pPr>
        <w:pStyle w:val="Normal9pt"/>
        <w:numPr>
          <w:ilvl w:val="0"/>
          <w:numId w:val="5"/>
        </w:numPr>
        <w:rPr>
          <w:rFonts w:ascii="Verdana" w:hAnsi="Verdana"/>
          <w:sz w:val="20"/>
          <w:szCs w:val="20"/>
          <w:lang w:val="es-CO"/>
        </w:rPr>
      </w:pPr>
      <w:r w:rsidRPr="00107B98">
        <w:rPr>
          <w:rFonts w:ascii="Verdana" w:hAnsi="Verdana"/>
          <w:sz w:val="20"/>
          <w:szCs w:val="20"/>
          <w:lang w:val="es-CO"/>
        </w:rPr>
        <w:t>V</w:t>
      </w:r>
      <w:r w:rsidR="00FD0E61" w:rsidRPr="00107B98">
        <w:rPr>
          <w:rFonts w:ascii="Verdana" w:hAnsi="Verdana"/>
          <w:sz w:val="20"/>
          <w:szCs w:val="20"/>
          <w:lang w:val="es-CO"/>
        </w:rPr>
        <w:t>alor de las inv</w:t>
      </w:r>
      <w:r w:rsidR="001F2529" w:rsidRPr="00107B98">
        <w:rPr>
          <w:rFonts w:ascii="Verdana" w:hAnsi="Verdana"/>
          <w:sz w:val="20"/>
          <w:szCs w:val="20"/>
          <w:lang w:val="es-CO"/>
        </w:rPr>
        <w:t>ersiones</w:t>
      </w:r>
      <w:r w:rsidR="00FD0E61" w:rsidRPr="00107B98">
        <w:rPr>
          <w:rFonts w:ascii="Verdana" w:hAnsi="Verdana"/>
          <w:sz w:val="20"/>
          <w:szCs w:val="20"/>
          <w:lang w:val="es-CO"/>
        </w:rPr>
        <w:t xml:space="preserve"> clasificadas al v</w:t>
      </w:r>
      <w:r w:rsidR="001F2529" w:rsidRPr="00107B98">
        <w:rPr>
          <w:rFonts w:ascii="Verdana" w:hAnsi="Verdana"/>
          <w:sz w:val="20"/>
          <w:szCs w:val="20"/>
          <w:lang w:val="es-CO"/>
        </w:rPr>
        <w:t>en</w:t>
      </w:r>
      <w:r w:rsidR="00FD0E61" w:rsidRPr="00107B98">
        <w:rPr>
          <w:rFonts w:ascii="Verdana" w:hAnsi="Verdana"/>
          <w:sz w:val="20"/>
          <w:szCs w:val="20"/>
          <w:lang w:val="es-CO"/>
        </w:rPr>
        <w:t>c</w:t>
      </w:r>
      <w:r w:rsidR="001F2529" w:rsidRPr="00107B98">
        <w:rPr>
          <w:rFonts w:ascii="Verdana" w:hAnsi="Verdana"/>
          <w:sz w:val="20"/>
          <w:szCs w:val="20"/>
          <w:lang w:val="es-CO"/>
        </w:rPr>
        <w:t>imien</w:t>
      </w:r>
      <w:r w:rsidRPr="00107B98">
        <w:rPr>
          <w:rFonts w:ascii="Verdana" w:hAnsi="Verdana"/>
          <w:sz w:val="20"/>
          <w:szCs w:val="20"/>
          <w:lang w:val="es-CO"/>
        </w:rPr>
        <w:t>to</w:t>
      </w:r>
      <w:r w:rsidR="00107B98" w:rsidRPr="00107B98">
        <w:rPr>
          <w:rFonts w:ascii="Verdana" w:hAnsi="Verdana"/>
          <w:sz w:val="20"/>
          <w:szCs w:val="20"/>
          <w:lang w:val="es-CO"/>
        </w:rPr>
        <w:t>.</w:t>
      </w:r>
      <w:r w:rsidR="00107B98">
        <w:rPr>
          <w:rFonts w:ascii="Verdana" w:hAnsi="Verdana"/>
          <w:sz w:val="20"/>
          <w:szCs w:val="20"/>
          <w:lang w:val="es-CO"/>
        </w:rPr>
        <w:t xml:space="preserve"> </w:t>
      </w:r>
      <w:r w:rsidRPr="00D557C1">
        <w:rPr>
          <w:rFonts w:ascii="Verdana" w:hAnsi="Verdana"/>
          <w:sz w:val="20"/>
          <w:szCs w:val="20"/>
          <w:lang w:val="es-CO"/>
        </w:rPr>
        <w:t xml:space="preserve">Las entidades deben estimar el valor total </w:t>
      </w:r>
      <w:r w:rsidR="00DE0BFC" w:rsidRPr="00D557C1">
        <w:rPr>
          <w:rFonts w:ascii="Verdana" w:hAnsi="Verdana"/>
          <w:sz w:val="20"/>
          <w:szCs w:val="20"/>
          <w:lang w:val="es-CO"/>
        </w:rPr>
        <w:t xml:space="preserve">a costo amortizado </w:t>
      </w:r>
      <w:r w:rsidRPr="00D557C1">
        <w:rPr>
          <w:rFonts w:ascii="Verdana" w:hAnsi="Verdana"/>
          <w:sz w:val="20"/>
          <w:szCs w:val="20"/>
          <w:lang w:val="es-CO"/>
        </w:rPr>
        <w:t>de los activos clasificados al vencimiento que componen el libro bancario.</w:t>
      </w:r>
      <w:r w:rsidR="0033367D" w:rsidRPr="00D557C1">
        <w:rPr>
          <w:rFonts w:ascii="Verdana" w:hAnsi="Verdana"/>
          <w:sz w:val="20"/>
          <w:szCs w:val="20"/>
          <w:lang w:val="es-CO"/>
        </w:rPr>
        <w:t xml:space="preserve"> Las estimaciones del costo amortizado de cada uno de los activos deben ser consistentes con las variables que componen los escenarios suministrados</w:t>
      </w:r>
      <w:r w:rsidR="00A632BB" w:rsidRPr="00D557C1">
        <w:rPr>
          <w:rFonts w:ascii="Verdana" w:hAnsi="Verdana"/>
          <w:sz w:val="20"/>
          <w:szCs w:val="20"/>
          <w:lang w:val="es-CO"/>
        </w:rPr>
        <w:t>, es decir</w:t>
      </w:r>
      <w:r w:rsidR="00A47FF2" w:rsidRPr="00D557C1">
        <w:rPr>
          <w:rFonts w:ascii="Verdana" w:hAnsi="Verdana"/>
          <w:sz w:val="20"/>
          <w:szCs w:val="20"/>
          <w:lang w:val="es-CO"/>
        </w:rPr>
        <w:t>,</w:t>
      </w:r>
      <w:r w:rsidR="00A632BB" w:rsidRPr="00D557C1">
        <w:rPr>
          <w:rFonts w:ascii="Verdana" w:hAnsi="Verdana"/>
          <w:sz w:val="20"/>
          <w:szCs w:val="20"/>
          <w:lang w:val="es-CO"/>
        </w:rPr>
        <w:t xml:space="preserve"> </w:t>
      </w:r>
      <w:r w:rsidR="0033367D" w:rsidRPr="00D557C1">
        <w:rPr>
          <w:rFonts w:ascii="Verdana" w:hAnsi="Verdana"/>
          <w:sz w:val="20"/>
          <w:szCs w:val="20"/>
          <w:lang w:val="es-CO"/>
        </w:rPr>
        <w:t xml:space="preserve">no podrán suponer comportamientos favorables </w:t>
      </w:r>
      <w:r w:rsidR="00A632BB" w:rsidRPr="00D557C1">
        <w:rPr>
          <w:rFonts w:ascii="Verdana" w:hAnsi="Verdana"/>
          <w:sz w:val="20"/>
          <w:szCs w:val="20"/>
          <w:lang w:val="es-CO"/>
        </w:rPr>
        <w:t>no consistentes</w:t>
      </w:r>
      <w:r w:rsidR="0033367D" w:rsidRPr="00D557C1">
        <w:rPr>
          <w:rFonts w:ascii="Verdana" w:hAnsi="Verdana"/>
          <w:sz w:val="20"/>
          <w:szCs w:val="20"/>
          <w:lang w:val="es-CO"/>
        </w:rPr>
        <w:t xml:space="preserve"> con ellos.</w:t>
      </w:r>
      <w:r w:rsidR="00A47FF2" w:rsidRPr="00D557C1">
        <w:rPr>
          <w:rFonts w:ascii="Verdana" w:hAnsi="Verdana"/>
          <w:sz w:val="20"/>
          <w:szCs w:val="20"/>
          <w:lang w:val="es-CO"/>
        </w:rPr>
        <w:t xml:space="preserve"> </w:t>
      </w:r>
      <w:r w:rsidR="00DE0BFC" w:rsidRPr="00D557C1">
        <w:rPr>
          <w:rFonts w:ascii="Verdana" w:hAnsi="Verdana"/>
          <w:sz w:val="20"/>
          <w:szCs w:val="20"/>
          <w:lang w:val="es-CO"/>
        </w:rPr>
        <w:t xml:space="preserve">En el </w:t>
      </w:r>
      <w:r w:rsidR="00CA51EE" w:rsidRPr="00D557C1">
        <w:rPr>
          <w:rFonts w:ascii="Verdana" w:hAnsi="Verdana"/>
          <w:sz w:val="20"/>
          <w:szCs w:val="20"/>
          <w:lang w:val="es-CO"/>
        </w:rPr>
        <w:t>evento</w:t>
      </w:r>
      <w:r w:rsidR="00DE0BFC" w:rsidRPr="00D557C1">
        <w:rPr>
          <w:rFonts w:ascii="Verdana" w:hAnsi="Verdana"/>
          <w:sz w:val="20"/>
          <w:szCs w:val="20"/>
          <w:lang w:val="es-CO"/>
        </w:rPr>
        <w:t xml:space="preserve"> </w:t>
      </w:r>
      <w:r w:rsidR="00CA51EE" w:rsidRPr="00D557C1">
        <w:rPr>
          <w:rFonts w:ascii="Verdana" w:hAnsi="Verdana"/>
          <w:sz w:val="20"/>
          <w:szCs w:val="20"/>
          <w:lang w:val="es-CO"/>
        </w:rPr>
        <w:t xml:space="preserve">en </w:t>
      </w:r>
      <w:r w:rsidR="00DE0BFC" w:rsidRPr="00D557C1">
        <w:rPr>
          <w:rFonts w:ascii="Verdana" w:hAnsi="Verdana"/>
          <w:sz w:val="20"/>
          <w:szCs w:val="20"/>
          <w:lang w:val="es-CO"/>
        </w:rPr>
        <w:t>que las entidades consideren como acción para mitigar los riesgos</w:t>
      </w:r>
      <w:r w:rsidR="00CA51EE" w:rsidRPr="00D557C1">
        <w:rPr>
          <w:rFonts w:ascii="Verdana" w:hAnsi="Verdana"/>
          <w:sz w:val="20"/>
          <w:szCs w:val="20"/>
          <w:lang w:val="es-CO"/>
        </w:rPr>
        <w:t>,</w:t>
      </w:r>
      <w:r w:rsidR="00DE0BFC" w:rsidRPr="00D557C1">
        <w:rPr>
          <w:rFonts w:ascii="Verdana" w:hAnsi="Verdana"/>
          <w:sz w:val="20"/>
          <w:szCs w:val="20"/>
          <w:lang w:val="es-CO"/>
        </w:rPr>
        <w:t xml:space="preserve"> solicitar autorización a la SFC para reclasificar sus inversiones hasta el vencimiento y liquidarlas</w:t>
      </w:r>
      <w:r w:rsidR="00CA51EE" w:rsidRPr="00D557C1">
        <w:rPr>
          <w:rFonts w:ascii="Verdana" w:hAnsi="Verdana"/>
          <w:sz w:val="20"/>
          <w:szCs w:val="20"/>
          <w:lang w:val="es-CO"/>
        </w:rPr>
        <w:t>,</w:t>
      </w:r>
      <w:r w:rsidR="00DE0BFC" w:rsidRPr="00D557C1">
        <w:rPr>
          <w:rFonts w:ascii="Verdana" w:hAnsi="Verdana"/>
          <w:sz w:val="20"/>
          <w:szCs w:val="20"/>
          <w:lang w:val="es-CO"/>
        </w:rPr>
        <w:t xml:space="preserve"> el impacto de </w:t>
      </w:r>
      <w:r w:rsidR="00CA51EE" w:rsidRPr="00D557C1">
        <w:rPr>
          <w:rFonts w:ascii="Verdana" w:hAnsi="Verdana"/>
          <w:sz w:val="20"/>
          <w:szCs w:val="20"/>
          <w:lang w:val="es-CO"/>
        </w:rPr>
        <w:t>dicha</w:t>
      </w:r>
      <w:r w:rsidR="00DE0BFC" w:rsidRPr="00D557C1">
        <w:rPr>
          <w:rFonts w:ascii="Verdana" w:hAnsi="Verdana"/>
          <w:sz w:val="20"/>
          <w:szCs w:val="20"/>
          <w:lang w:val="es-CO"/>
        </w:rPr>
        <w:t xml:space="preserve"> reclasificación debe verse reflejado en las</w:t>
      </w:r>
      <w:r w:rsidR="00CA51EE" w:rsidRPr="00D557C1">
        <w:rPr>
          <w:rFonts w:ascii="Verdana" w:hAnsi="Verdana"/>
          <w:sz w:val="20"/>
          <w:szCs w:val="20"/>
          <w:lang w:val="es-CO"/>
        </w:rPr>
        <w:t xml:space="preserve"> </w:t>
      </w:r>
      <w:r w:rsidR="00DE0BFC" w:rsidRPr="00D557C1">
        <w:rPr>
          <w:rFonts w:ascii="Verdana" w:hAnsi="Verdana"/>
          <w:sz w:val="20"/>
          <w:szCs w:val="20"/>
          <w:lang w:val="es-CO"/>
        </w:rPr>
        <w:t xml:space="preserve">proyecciones que realice </w:t>
      </w:r>
      <w:r w:rsidR="00E53C22" w:rsidRPr="00D557C1">
        <w:rPr>
          <w:rFonts w:ascii="Verdana" w:hAnsi="Verdana"/>
          <w:sz w:val="20"/>
          <w:szCs w:val="20"/>
          <w:lang w:val="es-CO"/>
        </w:rPr>
        <w:t>en los estados financieros</w:t>
      </w:r>
      <w:r w:rsidR="00DE0BFC" w:rsidRPr="00D557C1">
        <w:rPr>
          <w:rFonts w:ascii="Verdana" w:hAnsi="Verdana"/>
          <w:sz w:val="20"/>
          <w:szCs w:val="20"/>
          <w:lang w:val="es-CO"/>
        </w:rPr>
        <w:t>.</w:t>
      </w:r>
      <w:r w:rsidR="00797BB4" w:rsidRPr="00D557C1">
        <w:rPr>
          <w:rFonts w:ascii="Verdana" w:hAnsi="Verdana"/>
          <w:sz w:val="20"/>
          <w:szCs w:val="20"/>
          <w:lang w:val="es-CO"/>
        </w:rPr>
        <w:t xml:space="preserve"> El impacto de los escenarios sobre el valor de los activos del libro bancario debe incorporarse en los estados financieros.</w:t>
      </w:r>
    </w:p>
    <w:p w14:paraId="3EE09CF2" w14:textId="77777777" w:rsidR="00B41D8B" w:rsidRPr="00D557C1" w:rsidRDefault="00B41D8B" w:rsidP="00D557C1">
      <w:pPr>
        <w:pStyle w:val="Normal9pt"/>
        <w:numPr>
          <w:ilvl w:val="0"/>
          <w:numId w:val="0"/>
        </w:numPr>
        <w:ind w:left="720"/>
        <w:rPr>
          <w:rFonts w:ascii="Verdana" w:hAnsi="Verdana"/>
          <w:sz w:val="20"/>
          <w:szCs w:val="20"/>
          <w:lang w:val="es-CO"/>
        </w:rPr>
      </w:pPr>
    </w:p>
    <w:p w14:paraId="49F1BF43" w14:textId="77777777" w:rsidR="00B41D8B" w:rsidRPr="00D557C1" w:rsidRDefault="00B41D8B" w:rsidP="00B92F3C">
      <w:pPr>
        <w:pStyle w:val="Normal9pt"/>
        <w:numPr>
          <w:ilvl w:val="0"/>
          <w:numId w:val="5"/>
        </w:numPr>
        <w:rPr>
          <w:rFonts w:ascii="Verdana" w:hAnsi="Verdana"/>
          <w:sz w:val="20"/>
          <w:szCs w:val="20"/>
          <w:lang w:val="es-CO"/>
        </w:rPr>
      </w:pPr>
      <w:r w:rsidRPr="00107B98">
        <w:rPr>
          <w:rFonts w:ascii="Verdana" w:hAnsi="Verdana"/>
          <w:sz w:val="20"/>
          <w:szCs w:val="20"/>
          <w:lang w:val="es-CO"/>
        </w:rPr>
        <w:t>Valor por reexpresión cambiaria</w:t>
      </w:r>
      <w:r w:rsidR="00107B98" w:rsidRPr="00107B98">
        <w:rPr>
          <w:rFonts w:ascii="Verdana" w:hAnsi="Verdana"/>
          <w:sz w:val="20"/>
          <w:szCs w:val="20"/>
          <w:lang w:val="es-CO"/>
        </w:rPr>
        <w:t xml:space="preserve">. </w:t>
      </w:r>
      <w:r w:rsidRPr="00D557C1">
        <w:rPr>
          <w:rFonts w:ascii="Verdana" w:hAnsi="Verdana"/>
          <w:sz w:val="20"/>
          <w:szCs w:val="20"/>
          <w:lang w:val="es-CO"/>
        </w:rPr>
        <w:t>La medición del impacto de las variaciones de los precios de los activos debe incluir el efecto que tiene la reexpresión cambiaria, no sólo de los instrumentos del libro de tesorería, sino también de los instrumentos de libro bancario incluyendo los derivados de cobertura.</w:t>
      </w:r>
    </w:p>
    <w:p w14:paraId="5A4354E4" w14:textId="77777777" w:rsidR="00B41D8B" w:rsidRPr="00D557C1" w:rsidRDefault="00B41D8B" w:rsidP="00D557C1">
      <w:pPr>
        <w:pStyle w:val="Normal9pt"/>
        <w:numPr>
          <w:ilvl w:val="0"/>
          <w:numId w:val="0"/>
        </w:numPr>
        <w:rPr>
          <w:rFonts w:ascii="Verdana" w:hAnsi="Verdana"/>
          <w:sz w:val="20"/>
          <w:szCs w:val="20"/>
          <w:lang w:val="es-CO"/>
        </w:rPr>
      </w:pPr>
    </w:p>
    <w:p w14:paraId="641C89B7" w14:textId="546AECDC" w:rsidR="00B41D8B" w:rsidRPr="00D557C1" w:rsidRDefault="00B41D8B" w:rsidP="00B92F3C">
      <w:pPr>
        <w:pStyle w:val="Normal9pt"/>
        <w:numPr>
          <w:ilvl w:val="0"/>
          <w:numId w:val="5"/>
        </w:numPr>
        <w:rPr>
          <w:rFonts w:ascii="Verdana" w:hAnsi="Verdana"/>
          <w:sz w:val="20"/>
          <w:szCs w:val="20"/>
          <w:lang w:val="es-CO"/>
        </w:rPr>
      </w:pPr>
      <w:r w:rsidRPr="00D557C1">
        <w:rPr>
          <w:rFonts w:ascii="Verdana" w:hAnsi="Verdana"/>
          <w:sz w:val="20"/>
          <w:szCs w:val="20"/>
          <w:lang w:val="es-CO"/>
        </w:rPr>
        <w:t>El Valor en Riesgo (</w:t>
      </w:r>
      <w:proofErr w:type="spellStart"/>
      <w:r w:rsidRPr="00D557C1">
        <w:rPr>
          <w:rFonts w:ascii="Verdana" w:hAnsi="Verdana"/>
          <w:sz w:val="20"/>
          <w:szCs w:val="20"/>
          <w:lang w:val="es-CO"/>
        </w:rPr>
        <w:t>VeR</w:t>
      </w:r>
      <w:proofErr w:type="spellEnd"/>
      <w:r w:rsidRPr="00D557C1">
        <w:rPr>
          <w:rFonts w:ascii="Verdana" w:hAnsi="Verdana"/>
          <w:sz w:val="20"/>
          <w:szCs w:val="20"/>
          <w:lang w:val="es-CO"/>
        </w:rPr>
        <w:t>)</w:t>
      </w:r>
      <w:r w:rsidR="00107B98">
        <w:rPr>
          <w:rFonts w:ascii="Verdana" w:hAnsi="Verdana"/>
          <w:sz w:val="20"/>
          <w:szCs w:val="20"/>
          <w:lang w:val="es-CO"/>
        </w:rPr>
        <w:t xml:space="preserve">. </w:t>
      </w:r>
      <w:r w:rsidRPr="00D557C1">
        <w:rPr>
          <w:rFonts w:ascii="Verdana" w:hAnsi="Verdana"/>
          <w:sz w:val="20"/>
          <w:szCs w:val="20"/>
          <w:lang w:val="es-CO"/>
        </w:rPr>
        <w:t xml:space="preserve">El </w:t>
      </w:r>
      <w:proofErr w:type="spellStart"/>
      <w:r w:rsidRPr="00D557C1">
        <w:rPr>
          <w:rFonts w:ascii="Verdana" w:hAnsi="Verdana"/>
          <w:sz w:val="20"/>
          <w:szCs w:val="20"/>
          <w:lang w:val="es-CO"/>
        </w:rPr>
        <w:t>VeR</w:t>
      </w:r>
      <w:proofErr w:type="spellEnd"/>
      <w:r w:rsidRPr="00D557C1">
        <w:rPr>
          <w:rFonts w:ascii="Verdana" w:hAnsi="Verdana"/>
          <w:sz w:val="20"/>
          <w:szCs w:val="20"/>
          <w:lang w:val="es-CO"/>
        </w:rPr>
        <w:t xml:space="preserve"> de las entidades se debe estimar de acuerdo con la matriz de volatilidades proporcionada por la SFC, correspondiente a cada escenario, de acuerdo con la metodología establecida en</w:t>
      </w:r>
      <w:r w:rsidR="00811D51">
        <w:rPr>
          <w:rFonts w:ascii="Verdana" w:hAnsi="Verdana"/>
          <w:sz w:val="20"/>
          <w:szCs w:val="20"/>
          <w:lang w:val="es-CO"/>
        </w:rPr>
        <w:t xml:space="preserve"> el capítulo 1 de la parte 1 de la CBF</w:t>
      </w:r>
      <w:r w:rsidRPr="00D557C1">
        <w:rPr>
          <w:rFonts w:ascii="Verdana" w:hAnsi="Verdana"/>
          <w:sz w:val="20"/>
          <w:szCs w:val="20"/>
          <w:lang w:val="es-CO"/>
        </w:rPr>
        <w:t xml:space="preserve">. La estimación del </w:t>
      </w:r>
      <w:proofErr w:type="spellStart"/>
      <w:r w:rsidRPr="00D557C1">
        <w:rPr>
          <w:rFonts w:ascii="Verdana" w:hAnsi="Verdana"/>
          <w:sz w:val="20"/>
          <w:szCs w:val="20"/>
          <w:lang w:val="es-CO"/>
        </w:rPr>
        <w:t>VeR</w:t>
      </w:r>
      <w:proofErr w:type="spellEnd"/>
      <w:r w:rsidRPr="00D557C1">
        <w:rPr>
          <w:rFonts w:ascii="Verdana" w:hAnsi="Verdana"/>
          <w:sz w:val="20"/>
          <w:szCs w:val="20"/>
          <w:lang w:val="es-CO"/>
        </w:rPr>
        <w:t xml:space="preserve"> </w:t>
      </w:r>
      <w:r w:rsidR="004E18CD" w:rsidRPr="00D557C1">
        <w:rPr>
          <w:rFonts w:ascii="Verdana" w:hAnsi="Verdana"/>
          <w:sz w:val="20"/>
          <w:szCs w:val="20"/>
          <w:lang w:val="es-CO"/>
        </w:rPr>
        <w:t xml:space="preserve">debe hacerse de forma desagregada por cada módulo de riesgo (tasa de interés, tasa de cambio, precio de acciones y </w:t>
      </w:r>
      <w:r w:rsidR="008260B6" w:rsidRPr="00D557C1">
        <w:rPr>
          <w:rFonts w:ascii="Verdana" w:hAnsi="Verdana"/>
          <w:sz w:val="20"/>
          <w:szCs w:val="20"/>
          <w:lang w:val="es-CO"/>
        </w:rPr>
        <w:t>fondos de inversión colectiva</w:t>
      </w:r>
      <w:r w:rsidR="004E18CD" w:rsidRPr="00D557C1">
        <w:rPr>
          <w:rFonts w:ascii="Verdana" w:hAnsi="Verdana"/>
          <w:sz w:val="20"/>
          <w:szCs w:val="20"/>
          <w:lang w:val="es-CO"/>
        </w:rPr>
        <w:t xml:space="preserve">) y </w:t>
      </w:r>
      <w:r w:rsidRPr="00D557C1">
        <w:rPr>
          <w:rFonts w:ascii="Verdana" w:hAnsi="Verdana"/>
          <w:sz w:val="20"/>
          <w:szCs w:val="20"/>
          <w:lang w:val="es-CO"/>
        </w:rPr>
        <w:t>debe incorporarse en el cálculo de la relación de solvencia.</w:t>
      </w:r>
    </w:p>
    <w:p w14:paraId="35DC17FC" w14:textId="77777777" w:rsidR="00B41D8B" w:rsidRPr="00D557C1" w:rsidRDefault="00B41D8B" w:rsidP="00D557C1">
      <w:pPr>
        <w:pStyle w:val="Normal9pt"/>
        <w:numPr>
          <w:ilvl w:val="0"/>
          <w:numId w:val="0"/>
        </w:numPr>
        <w:rPr>
          <w:rFonts w:ascii="Verdana" w:hAnsi="Verdana"/>
          <w:sz w:val="20"/>
          <w:szCs w:val="20"/>
          <w:lang w:val="es-CO"/>
        </w:rPr>
      </w:pPr>
    </w:p>
    <w:p w14:paraId="5790E49B" w14:textId="77777777" w:rsidR="00B41D8B" w:rsidRPr="00D557C1" w:rsidRDefault="00B41D8B" w:rsidP="00B92F3C">
      <w:pPr>
        <w:pStyle w:val="Normal9pt"/>
        <w:numPr>
          <w:ilvl w:val="0"/>
          <w:numId w:val="5"/>
        </w:numPr>
        <w:rPr>
          <w:rFonts w:ascii="Verdana" w:hAnsi="Verdana"/>
          <w:sz w:val="20"/>
          <w:szCs w:val="20"/>
          <w:lang w:val="es-CO"/>
        </w:rPr>
      </w:pPr>
      <w:r w:rsidRPr="00D557C1">
        <w:rPr>
          <w:rFonts w:ascii="Verdana" w:hAnsi="Verdana"/>
          <w:sz w:val="20"/>
          <w:szCs w:val="20"/>
          <w:lang w:val="es-CO"/>
        </w:rPr>
        <w:t>El valor de los instrumentos financieros derivados</w:t>
      </w:r>
      <w:r w:rsidR="00107B98">
        <w:rPr>
          <w:rFonts w:ascii="Verdana" w:hAnsi="Verdana"/>
          <w:sz w:val="20"/>
          <w:szCs w:val="20"/>
          <w:lang w:val="es-CO"/>
        </w:rPr>
        <w:t xml:space="preserve">. </w:t>
      </w:r>
      <w:r w:rsidRPr="00D557C1">
        <w:rPr>
          <w:rFonts w:ascii="Verdana" w:hAnsi="Verdana"/>
          <w:sz w:val="20"/>
          <w:szCs w:val="20"/>
          <w:lang w:val="es-CO"/>
        </w:rPr>
        <w:t>Los supuestos y/o proyecciones que realice la entidad para la estimación del valor de los instrumentos financieros derivados, deben ser consistentes con cada uno de los escenarios suministrados. En el escenario adverso, las entidades no podrán suponer ningún ingreso por una variación en el cálculo del DVA (</w:t>
      </w:r>
      <w:proofErr w:type="spellStart"/>
      <w:r w:rsidRPr="00D557C1">
        <w:rPr>
          <w:rFonts w:ascii="Verdana" w:hAnsi="Verdana"/>
          <w:i/>
          <w:sz w:val="20"/>
          <w:szCs w:val="20"/>
          <w:lang w:val="es-CO"/>
        </w:rPr>
        <w:t>Debt</w:t>
      </w:r>
      <w:proofErr w:type="spellEnd"/>
      <w:r w:rsidRPr="00D557C1">
        <w:rPr>
          <w:rFonts w:ascii="Verdana" w:hAnsi="Verdana"/>
          <w:i/>
          <w:sz w:val="20"/>
          <w:szCs w:val="20"/>
          <w:lang w:val="es-CO"/>
        </w:rPr>
        <w:t xml:space="preserve"> </w:t>
      </w:r>
      <w:proofErr w:type="spellStart"/>
      <w:r w:rsidRPr="00D557C1">
        <w:rPr>
          <w:rFonts w:ascii="Verdana" w:hAnsi="Verdana"/>
          <w:i/>
          <w:sz w:val="20"/>
          <w:szCs w:val="20"/>
          <w:lang w:val="es-CO"/>
        </w:rPr>
        <w:t>valuation</w:t>
      </w:r>
      <w:proofErr w:type="spellEnd"/>
      <w:r w:rsidRPr="00D557C1">
        <w:rPr>
          <w:rFonts w:ascii="Verdana" w:hAnsi="Verdana"/>
          <w:i/>
          <w:sz w:val="20"/>
          <w:szCs w:val="20"/>
          <w:lang w:val="es-CO"/>
        </w:rPr>
        <w:t xml:space="preserve"> </w:t>
      </w:r>
      <w:proofErr w:type="spellStart"/>
      <w:r w:rsidRPr="00D557C1">
        <w:rPr>
          <w:rFonts w:ascii="Verdana" w:hAnsi="Verdana"/>
          <w:i/>
          <w:sz w:val="20"/>
          <w:szCs w:val="20"/>
          <w:lang w:val="es-CO"/>
        </w:rPr>
        <w:t>adjustment</w:t>
      </w:r>
      <w:proofErr w:type="spellEnd"/>
      <w:r w:rsidRPr="00D557C1">
        <w:rPr>
          <w:rFonts w:ascii="Verdana" w:hAnsi="Verdana"/>
          <w:sz w:val="20"/>
          <w:szCs w:val="20"/>
          <w:lang w:val="es-CO"/>
        </w:rPr>
        <w:t>)</w:t>
      </w:r>
      <w:r w:rsidR="00C53835" w:rsidRPr="00D557C1">
        <w:rPr>
          <w:rFonts w:ascii="Verdana" w:hAnsi="Verdana"/>
          <w:sz w:val="20"/>
          <w:szCs w:val="20"/>
          <w:lang w:val="es-CO"/>
        </w:rPr>
        <w:t xml:space="preserve">. Adicionalmente, el ajuste CVA (Credit </w:t>
      </w:r>
      <w:proofErr w:type="spellStart"/>
      <w:r w:rsidR="00C53835" w:rsidRPr="00D557C1">
        <w:rPr>
          <w:rFonts w:ascii="Verdana" w:hAnsi="Verdana"/>
          <w:sz w:val="20"/>
          <w:szCs w:val="20"/>
          <w:lang w:val="es-CO"/>
        </w:rPr>
        <w:t>Value</w:t>
      </w:r>
      <w:proofErr w:type="spellEnd"/>
      <w:r w:rsidR="00C53835" w:rsidRPr="00D557C1">
        <w:rPr>
          <w:rFonts w:ascii="Verdana" w:hAnsi="Verdana"/>
          <w:sz w:val="20"/>
          <w:szCs w:val="20"/>
          <w:lang w:val="es-CO"/>
        </w:rPr>
        <w:t xml:space="preserve"> </w:t>
      </w:r>
      <w:proofErr w:type="spellStart"/>
      <w:r w:rsidR="00C53835" w:rsidRPr="00D557C1">
        <w:rPr>
          <w:rFonts w:ascii="Verdana" w:hAnsi="Verdana"/>
          <w:sz w:val="20"/>
          <w:szCs w:val="20"/>
          <w:lang w:val="es-CO"/>
        </w:rPr>
        <w:t>Adjustment</w:t>
      </w:r>
      <w:proofErr w:type="spellEnd"/>
      <w:r w:rsidR="00C53835" w:rsidRPr="00D557C1">
        <w:rPr>
          <w:rFonts w:ascii="Verdana" w:hAnsi="Verdana"/>
          <w:sz w:val="20"/>
          <w:szCs w:val="20"/>
          <w:lang w:val="es-CO"/>
        </w:rPr>
        <w:t>) debe ser concordante con los escenarios macroeconómicos propuestos por la SFC</w:t>
      </w:r>
      <w:r w:rsidR="00681370" w:rsidRPr="00D557C1">
        <w:rPr>
          <w:rFonts w:ascii="Verdana" w:hAnsi="Verdana"/>
          <w:sz w:val="20"/>
          <w:szCs w:val="20"/>
          <w:lang w:val="es-CO"/>
        </w:rPr>
        <w:t xml:space="preserve"> y considerar un deterioro</w:t>
      </w:r>
      <w:r w:rsidR="001F113B" w:rsidRPr="00D557C1">
        <w:rPr>
          <w:rFonts w:ascii="Verdana" w:hAnsi="Verdana"/>
          <w:sz w:val="20"/>
          <w:szCs w:val="20"/>
          <w:lang w:val="es-CO"/>
        </w:rPr>
        <w:t xml:space="preserve"> simultáneo de las condiciones crediticias </w:t>
      </w:r>
      <w:r w:rsidR="00681370" w:rsidRPr="00D557C1">
        <w:rPr>
          <w:rFonts w:ascii="Verdana" w:hAnsi="Verdana"/>
          <w:sz w:val="20"/>
          <w:szCs w:val="20"/>
          <w:lang w:val="es-CO"/>
        </w:rPr>
        <w:t>de las contrapartes de los instrumentos financieros derivados</w:t>
      </w:r>
      <w:r w:rsidR="001F113B" w:rsidRPr="00D557C1">
        <w:rPr>
          <w:rFonts w:ascii="Verdana" w:hAnsi="Verdana"/>
          <w:sz w:val="20"/>
          <w:szCs w:val="20"/>
          <w:lang w:val="es-CO"/>
        </w:rPr>
        <w:t>.</w:t>
      </w:r>
    </w:p>
    <w:p w14:paraId="6C9EE1C7" w14:textId="77777777" w:rsidR="00B41D8B" w:rsidRPr="00D557C1" w:rsidRDefault="00B41D8B" w:rsidP="00D557C1">
      <w:pPr>
        <w:pStyle w:val="Normal9pt"/>
        <w:numPr>
          <w:ilvl w:val="0"/>
          <w:numId w:val="0"/>
        </w:numPr>
        <w:rPr>
          <w:rFonts w:ascii="Verdana" w:hAnsi="Verdana"/>
          <w:sz w:val="20"/>
          <w:szCs w:val="20"/>
          <w:lang w:val="es-CO"/>
        </w:rPr>
      </w:pPr>
    </w:p>
    <w:p w14:paraId="26487679" w14:textId="77777777" w:rsidR="00B41D8B" w:rsidRPr="00D557C1" w:rsidRDefault="00B41D8B" w:rsidP="00B92F3C">
      <w:pPr>
        <w:pStyle w:val="Normal9pt"/>
        <w:numPr>
          <w:ilvl w:val="0"/>
          <w:numId w:val="5"/>
        </w:numPr>
        <w:rPr>
          <w:rFonts w:ascii="Verdana" w:hAnsi="Verdana"/>
          <w:sz w:val="20"/>
          <w:szCs w:val="20"/>
          <w:lang w:val="es-CO"/>
        </w:rPr>
      </w:pPr>
      <w:r w:rsidRPr="00D557C1">
        <w:rPr>
          <w:rFonts w:ascii="Verdana" w:hAnsi="Verdana"/>
          <w:sz w:val="20"/>
          <w:szCs w:val="20"/>
          <w:lang w:val="es-CO"/>
        </w:rPr>
        <w:t>El valor de las inversiones en títulos participativos que no se encuentran inscritas en bolsa o que no marcan precio</w:t>
      </w:r>
      <w:r w:rsidR="00107B98">
        <w:rPr>
          <w:rFonts w:ascii="Verdana" w:hAnsi="Verdana"/>
          <w:sz w:val="20"/>
          <w:szCs w:val="20"/>
          <w:lang w:val="es-CO"/>
        </w:rPr>
        <w:t xml:space="preserve">. </w:t>
      </w:r>
      <w:r w:rsidRPr="00D557C1">
        <w:rPr>
          <w:rFonts w:ascii="Verdana" w:hAnsi="Verdana"/>
          <w:sz w:val="20"/>
          <w:szCs w:val="20"/>
          <w:lang w:val="es-CO"/>
        </w:rPr>
        <w:t xml:space="preserve">En el caso de las inversiones en títulos participativos que no se encuentren inscritos en una bolsa de valores o que estando inscritos no hayan marcado precio en el último año, las entidades deben </w:t>
      </w:r>
      <w:r w:rsidRPr="00D557C1">
        <w:rPr>
          <w:rFonts w:ascii="Verdana" w:hAnsi="Verdana"/>
          <w:sz w:val="20"/>
          <w:szCs w:val="20"/>
          <w:lang w:val="es-CO"/>
        </w:rPr>
        <w:lastRenderedPageBreak/>
        <w:t xml:space="preserve">estimar para cada escenario el valor de dicha participación, de manera que refleje las expectativas del mercado sobre los flujos futuros de la inversión (por ejemplo, flujos de efectivo o ingresos y gastos). Dicha estimación debe ser consistente con los escenarios propuestos por la SFC. </w:t>
      </w:r>
    </w:p>
    <w:p w14:paraId="44F5B814" w14:textId="77777777" w:rsidR="00B41D8B" w:rsidRPr="00D557C1" w:rsidRDefault="00B41D8B" w:rsidP="00D557C1">
      <w:pPr>
        <w:pStyle w:val="Normal9pt"/>
        <w:numPr>
          <w:ilvl w:val="0"/>
          <w:numId w:val="0"/>
        </w:numPr>
        <w:rPr>
          <w:rFonts w:ascii="Verdana" w:hAnsi="Verdana"/>
          <w:sz w:val="20"/>
          <w:szCs w:val="20"/>
          <w:lang w:val="es-CO"/>
        </w:rPr>
      </w:pPr>
    </w:p>
    <w:p w14:paraId="21A3B2FB" w14:textId="77777777" w:rsidR="00BA0459" w:rsidRPr="00D557C1" w:rsidRDefault="00F34310" w:rsidP="00B92F3C">
      <w:pPr>
        <w:pStyle w:val="Normal9pt"/>
        <w:numPr>
          <w:ilvl w:val="0"/>
          <w:numId w:val="4"/>
        </w:numPr>
        <w:ind w:left="567" w:hanging="567"/>
        <w:rPr>
          <w:rFonts w:ascii="Verdana" w:hAnsi="Verdana"/>
          <w:sz w:val="20"/>
          <w:szCs w:val="20"/>
          <w:lang w:val="es-CO"/>
        </w:rPr>
      </w:pPr>
      <w:r w:rsidRPr="00D557C1">
        <w:rPr>
          <w:rFonts w:ascii="Verdana" w:hAnsi="Verdana"/>
          <w:sz w:val="20"/>
          <w:szCs w:val="20"/>
          <w:lang w:val="es-CO"/>
        </w:rPr>
        <w:t>Todas l</w:t>
      </w:r>
      <w:r w:rsidR="00BA0459" w:rsidRPr="00D557C1">
        <w:rPr>
          <w:rFonts w:ascii="Verdana" w:hAnsi="Verdana"/>
          <w:sz w:val="20"/>
          <w:szCs w:val="20"/>
          <w:lang w:val="es-CO"/>
        </w:rPr>
        <w:t xml:space="preserve">as entidades del Grupo 2 deben estimar el </w:t>
      </w:r>
      <w:proofErr w:type="spellStart"/>
      <w:r w:rsidR="00BA0459" w:rsidRPr="00D557C1">
        <w:rPr>
          <w:rFonts w:ascii="Verdana" w:hAnsi="Verdana"/>
          <w:sz w:val="20"/>
          <w:szCs w:val="20"/>
          <w:lang w:val="es-CO"/>
        </w:rPr>
        <w:t>VeR</w:t>
      </w:r>
      <w:proofErr w:type="spellEnd"/>
      <w:r w:rsidR="00BA0459" w:rsidRPr="00D557C1">
        <w:rPr>
          <w:rFonts w:ascii="Verdana" w:hAnsi="Verdana"/>
          <w:sz w:val="20"/>
          <w:szCs w:val="20"/>
          <w:lang w:val="es-CO"/>
        </w:rPr>
        <w:t xml:space="preserve"> </w:t>
      </w:r>
      <w:r w:rsidR="004E18CD" w:rsidRPr="00D557C1">
        <w:rPr>
          <w:rFonts w:ascii="Verdana" w:hAnsi="Verdana"/>
          <w:sz w:val="20"/>
          <w:szCs w:val="20"/>
          <w:lang w:val="es-CO"/>
        </w:rPr>
        <w:t xml:space="preserve">total </w:t>
      </w:r>
      <w:r w:rsidR="00BA0459" w:rsidRPr="00D557C1">
        <w:rPr>
          <w:rFonts w:ascii="Verdana" w:hAnsi="Verdana"/>
          <w:sz w:val="20"/>
          <w:szCs w:val="20"/>
          <w:lang w:val="es-CO"/>
        </w:rPr>
        <w:t xml:space="preserve">de </w:t>
      </w:r>
      <w:r w:rsidR="00265344" w:rsidRPr="00D557C1">
        <w:rPr>
          <w:rFonts w:ascii="Verdana" w:hAnsi="Verdana"/>
          <w:sz w:val="20"/>
          <w:szCs w:val="20"/>
          <w:lang w:val="es-CO"/>
        </w:rPr>
        <w:t>manera consistente</w:t>
      </w:r>
      <w:r w:rsidR="00BA0459" w:rsidRPr="00D557C1">
        <w:rPr>
          <w:rFonts w:ascii="Verdana" w:hAnsi="Verdana"/>
          <w:sz w:val="20"/>
          <w:szCs w:val="20"/>
          <w:lang w:val="es-CO"/>
        </w:rPr>
        <w:t xml:space="preserve"> con los escenarios suministrados por la SFC. La estimación del </w:t>
      </w:r>
      <w:proofErr w:type="spellStart"/>
      <w:r w:rsidR="00BA0459" w:rsidRPr="00D557C1">
        <w:rPr>
          <w:rFonts w:ascii="Verdana" w:hAnsi="Verdana"/>
          <w:sz w:val="20"/>
          <w:szCs w:val="20"/>
          <w:lang w:val="es-CO"/>
        </w:rPr>
        <w:t>VeR</w:t>
      </w:r>
      <w:proofErr w:type="spellEnd"/>
      <w:r w:rsidR="00BA0459" w:rsidRPr="00D557C1">
        <w:rPr>
          <w:rFonts w:ascii="Verdana" w:hAnsi="Verdana"/>
          <w:sz w:val="20"/>
          <w:szCs w:val="20"/>
          <w:lang w:val="es-CO"/>
        </w:rPr>
        <w:t xml:space="preserve"> debe incorporarse en el cálculo de la relación de solvencia.</w:t>
      </w:r>
    </w:p>
    <w:p w14:paraId="20160740" w14:textId="77777777" w:rsidR="00BA0459" w:rsidRPr="00D557C1" w:rsidRDefault="00BA0459" w:rsidP="00D557C1">
      <w:pPr>
        <w:pStyle w:val="Normal9pt"/>
        <w:numPr>
          <w:ilvl w:val="0"/>
          <w:numId w:val="0"/>
        </w:numPr>
        <w:rPr>
          <w:rFonts w:ascii="Verdana" w:hAnsi="Verdana"/>
          <w:sz w:val="20"/>
          <w:szCs w:val="20"/>
          <w:lang w:val="es-CO"/>
        </w:rPr>
      </w:pPr>
    </w:p>
    <w:p w14:paraId="0820E158" w14:textId="77777777" w:rsidR="00B41D8B" w:rsidRPr="00D557C1" w:rsidRDefault="00B41D8B" w:rsidP="004B498B">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Riesgo de liquidez</w:t>
      </w:r>
    </w:p>
    <w:p w14:paraId="70719E32" w14:textId="77777777" w:rsidR="006C7ACA" w:rsidRDefault="006C7ACA" w:rsidP="00D557C1">
      <w:pPr>
        <w:pStyle w:val="Normal9pt"/>
        <w:numPr>
          <w:ilvl w:val="0"/>
          <w:numId w:val="0"/>
        </w:numPr>
        <w:rPr>
          <w:rFonts w:ascii="Verdana" w:hAnsi="Verdana"/>
          <w:sz w:val="20"/>
          <w:szCs w:val="20"/>
          <w:lang w:val="es-CO"/>
        </w:rPr>
      </w:pPr>
    </w:p>
    <w:p w14:paraId="51CECAF7"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28</w:t>
      </w:r>
      <w:r w:rsidRPr="007C56A4">
        <w:rPr>
          <w:rFonts w:ascii="Verdana" w:hAnsi="Verdana"/>
          <w:spacing w:val="0"/>
          <w:sz w:val="20"/>
          <w:szCs w:val="20"/>
          <w:lang w:val="es-CO"/>
        </w:rPr>
        <w:t>.</w:t>
      </w:r>
    </w:p>
    <w:p w14:paraId="054D47AA"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Con el objetivo de identificar los factores de riesgo y las vulnerabilidades que pueden exacerbar la exposición al riesgo de liquidez en el corto plazo, como resultado</w:t>
      </w:r>
      <w:r w:rsidR="00242EA4" w:rsidRPr="00D557C1">
        <w:rPr>
          <w:rFonts w:ascii="Verdana" w:hAnsi="Verdana"/>
          <w:sz w:val="20"/>
          <w:szCs w:val="20"/>
          <w:lang w:val="es-CO"/>
        </w:rPr>
        <w:t xml:space="preserve"> </w:t>
      </w:r>
      <w:r w:rsidRPr="00D557C1">
        <w:rPr>
          <w:rFonts w:ascii="Verdana" w:hAnsi="Verdana"/>
          <w:sz w:val="20"/>
          <w:szCs w:val="20"/>
          <w:lang w:val="es-CO"/>
        </w:rPr>
        <w:t xml:space="preserve">de las fluctuaciones de los mercados y/o un deterioro en las condiciones del fondeo, las entidades deben realizar la prueba de liquidez con base en los escenarios suministrados. </w:t>
      </w:r>
    </w:p>
    <w:p w14:paraId="00C307BF" w14:textId="77777777" w:rsidR="006C7ACA" w:rsidRDefault="006C7ACA" w:rsidP="00D557C1">
      <w:pPr>
        <w:pStyle w:val="Normal9pt"/>
        <w:numPr>
          <w:ilvl w:val="0"/>
          <w:numId w:val="0"/>
        </w:numPr>
        <w:rPr>
          <w:rFonts w:ascii="Verdana" w:hAnsi="Verdana"/>
          <w:sz w:val="20"/>
          <w:szCs w:val="20"/>
          <w:lang w:val="es-CO"/>
        </w:rPr>
      </w:pPr>
    </w:p>
    <w:p w14:paraId="550CECB3"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29</w:t>
      </w:r>
      <w:r w:rsidRPr="007C56A4">
        <w:rPr>
          <w:rFonts w:ascii="Verdana" w:hAnsi="Verdana"/>
          <w:spacing w:val="0"/>
          <w:sz w:val="20"/>
          <w:szCs w:val="20"/>
          <w:lang w:val="es-CO"/>
        </w:rPr>
        <w:t>.</w:t>
      </w:r>
    </w:p>
    <w:p w14:paraId="6BE15F59"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 prueba de liquidez debe realizarse para cada uno de los trimestres del primer año siguiendo dos lineamientos: (i) La entidad debe proyectar sus flujos de activos y pasivos tanto contractuales como no contractuales, con el fin de identificar los posibles descalces que se puedan generar, con base en los escenarios suministrados y en el impacto de los mismos sobre sus proyecciones de cartera, portafolio y fuentes de fondeo, y (ii) La entidad debe estimar el valor de sus activos líquidos ajustados por riesgo de mercado y de los requerimientos de liquidez netos para los  cierre</w:t>
      </w:r>
      <w:r w:rsidR="00FA115E" w:rsidRPr="00D557C1">
        <w:rPr>
          <w:rFonts w:ascii="Verdana" w:hAnsi="Verdana"/>
          <w:sz w:val="20"/>
          <w:szCs w:val="20"/>
          <w:lang w:val="es-CO"/>
        </w:rPr>
        <w:t>s</w:t>
      </w:r>
      <w:r w:rsidRPr="00D557C1">
        <w:rPr>
          <w:rFonts w:ascii="Verdana" w:hAnsi="Verdana"/>
          <w:sz w:val="20"/>
          <w:szCs w:val="20"/>
          <w:lang w:val="es-CO"/>
        </w:rPr>
        <w:t xml:space="preserve"> de cada trimestre, de manera consistente con los escenarios suministrados. </w:t>
      </w:r>
    </w:p>
    <w:p w14:paraId="4013DA36" w14:textId="77777777" w:rsidR="006C7ACA" w:rsidRPr="00D557C1" w:rsidRDefault="006C7ACA" w:rsidP="00D557C1">
      <w:pPr>
        <w:pStyle w:val="Normal9pt"/>
        <w:numPr>
          <w:ilvl w:val="0"/>
          <w:numId w:val="0"/>
        </w:numPr>
        <w:rPr>
          <w:rFonts w:ascii="Verdana" w:hAnsi="Verdana"/>
          <w:sz w:val="20"/>
          <w:szCs w:val="20"/>
          <w:lang w:val="es-CO"/>
        </w:rPr>
      </w:pPr>
    </w:p>
    <w:p w14:paraId="54A70D47" w14:textId="77777777" w:rsidR="006C7ACA" w:rsidRPr="00107B98" w:rsidRDefault="006C7ACA" w:rsidP="00B92F3C">
      <w:pPr>
        <w:pStyle w:val="Normal9pt"/>
        <w:numPr>
          <w:ilvl w:val="0"/>
          <w:numId w:val="12"/>
        </w:numPr>
        <w:ind w:left="284" w:hanging="284"/>
        <w:rPr>
          <w:rFonts w:ascii="Verdana" w:hAnsi="Verdana"/>
          <w:b/>
          <w:bCs/>
          <w:sz w:val="20"/>
          <w:szCs w:val="20"/>
          <w:lang w:val="es-CO"/>
        </w:rPr>
      </w:pPr>
      <w:r w:rsidRPr="00107B98">
        <w:rPr>
          <w:rFonts w:ascii="Verdana" w:hAnsi="Verdana"/>
          <w:b/>
          <w:bCs/>
          <w:sz w:val="20"/>
          <w:szCs w:val="20"/>
          <w:lang w:val="es-CO"/>
        </w:rPr>
        <w:t>Flujos de activos y pasivos</w:t>
      </w:r>
    </w:p>
    <w:p w14:paraId="27B53775" w14:textId="77777777" w:rsidR="006C7ACA" w:rsidRDefault="006C7ACA" w:rsidP="00D557C1">
      <w:pPr>
        <w:pStyle w:val="Normal9pt"/>
        <w:numPr>
          <w:ilvl w:val="0"/>
          <w:numId w:val="0"/>
        </w:numPr>
        <w:rPr>
          <w:rFonts w:ascii="Verdana" w:hAnsi="Verdana"/>
          <w:sz w:val="20"/>
          <w:szCs w:val="20"/>
          <w:lang w:val="es-CO"/>
        </w:rPr>
      </w:pPr>
    </w:p>
    <w:p w14:paraId="6E1D5519"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30</w:t>
      </w:r>
      <w:r w:rsidRPr="007C56A4">
        <w:rPr>
          <w:rFonts w:ascii="Verdana" w:hAnsi="Verdana"/>
          <w:spacing w:val="0"/>
          <w:sz w:val="20"/>
          <w:szCs w:val="20"/>
          <w:lang w:val="es-CO"/>
        </w:rPr>
        <w:t>.</w:t>
      </w:r>
    </w:p>
    <w:p w14:paraId="765698DD"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entidades deben proyectar el valor de los flujos de efectivo de sus activos, pasivos y posiciones fuera de balance, tanto los que presentan vencimientos contractuales, como los que no cuentan con flujos establecidos contractualmente. Dichas proyecciones deben ser consistentes con las proyecciones de </w:t>
      </w:r>
      <w:r w:rsidR="00107B98">
        <w:rPr>
          <w:rFonts w:ascii="Verdana" w:hAnsi="Verdana"/>
          <w:sz w:val="20"/>
          <w:szCs w:val="20"/>
          <w:lang w:val="es-CO"/>
        </w:rPr>
        <w:t xml:space="preserve">los </w:t>
      </w:r>
      <w:r w:rsidRPr="00D557C1">
        <w:rPr>
          <w:rFonts w:ascii="Verdana" w:hAnsi="Verdana"/>
          <w:sz w:val="20"/>
          <w:szCs w:val="20"/>
          <w:lang w:val="es-CO"/>
        </w:rPr>
        <w:t>estados financieros de acuerdo con los escenarios suministrados por la SFC y el plan de negocio de la entidad.</w:t>
      </w:r>
    </w:p>
    <w:p w14:paraId="73334EFE" w14:textId="77777777" w:rsidR="006C7ACA" w:rsidRDefault="006C7ACA" w:rsidP="00D557C1">
      <w:pPr>
        <w:pStyle w:val="Normal9pt"/>
        <w:numPr>
          <w:ilvl w:val="0"/>
          <w:numId w:val="0"/>
        </w:numPr>
        <w:rPr>
          <w:rFonts w:ascii="Verdana" w:hAnsi="Verdana"/>
          <w:sz w:val="20"/>
          <w:szCs w:val="20"/>
          <w:lang w:val="es-CO"/>
        </w:rPr>
      </w:pPr>
    </w:p>
    <w:p w14:paraId="126A5818"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30</w:t>
      </w:r>
      <w:r w:rsidRPr="007C56A4">
        <w:rPr>
          <w:rFonts w:ascii="Verdana" w:hAnsi="Verdana"/>
          <w:spacing w:val="0"/>
          <w:sz w:val="20"/>
          <w:szCs w:val="20"/>
          <w:lang w:val="es-CO"/>
        </w:rPr>
        <w:t>.</w:t>
      </w:r>
    </w:p>
    <w:p w14:paraId="14C240E7"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Los flujos proyectados </w:t>
      </w:r>
      <w:r w:rsidR="00107B98">
        <w:rPr>
          <w:rFonts w:ascii="Verdana" w:hAnsi="Verdana"/>
          <w:sz w:val="20"/>
          <w:szCs w:val="20"/>
          <w:lang w:val="es-CO"/>
        </w:rPr>
        <w:t xml:space="preserve">se </w:t>
      </w:r>
      <w:r w:rsidRPr="00D557C1">
        <w:rPr>
          <w:rFonts w:ascii="Verdana" w:hAnsi="Verdana"/>
          <w:sz w:val="20"/>
          <w:szCs w:val="20"/>
          <w:lang w:val="es-CO"/>
        </w:rPr>
        <w:t>deben agrupar</w:t>
      </w:r>
      <w:r w:rsidR="00107B98">
        <w:rPr>
          <w:rFonts w:ascii="Verdana" w:hAnsi="Verdana"/>
          <w:sz w:val="20"/>
          <w:szCs w:val="20"/>
          <w:lang w:val="es-CO"/>
        </w:rPr>
        <w:t xml:space="preserve"> </w:t>
      </w:r>
      <w:r w:rsidRPr="00D557C1">
        <w:rPr>
          <w:rFonts w:ascii="Verdana" w:hAnsi="Verdana"/>
          <w:sz w:val="20"/>
          <w:szCs w:val="20"/>
          <w:lang w:val="es-CO"/>
        </w:rPr>
        <w:t>en bandas trimestrales</w:t>
      </w:r>
      <w:r w:rsidR="00107B98">
        <w:rPr>
          <w:rFonts w:ascii="Verdana" w:hAnsi="Verdana"/>
          <w:sz w:val="20"/>
          <w:szCs w:val="20"/>
          <w:lang w:val="es-CO"/>
        </w:rPr>
        <w:t>,</w:t>
      </w:r>
      <w:r w:rsidRPr="00D557C1">
        <w:rPr>
          <w:rFonts w:ascii="Verdana" w:hAnsi="Verdana"/>
          <w:sz w:val="20"/>
          <w:szCs w:val="20"/>
          <w:lang w:val="es-CO"/>
        </w:rPr>
        <w:t xml:space="preserve"> así:</w:t>
      </w:r>
    </w:p>
    <w:p w14:paraId="7B408986" w14:textId="77777777" w:rsidR="006C7ACA" w:rsidRPr="00D557C1" w:rsidRDefault="006C7ACA" w:rsidP="00D557C1">
      <w:pPr>
        <w:pStyle w:val="Normal9pt"/>
        <w:numPr>
          <w:ilvl w:val="0"/>
          <w:numId w:val="0"/>
        </w:numPr>
        <w:rPr>
          <w:rFonts w:ascii="Verdana" w:hAnsi="Verdana"/>
          <w:sz w:val="20"/>
          <w:szCs w:val="20"/>
          <w:lang w:val="es-CO"/>
        </w:rPr>
      </w:pPr>
    </w:p>
    <w:p w14:paraId="1EC3AD19" w14:textId="77777777" w:rsidR="007C575F" w:rsidRDefault="006C7ACA" w:rsidP="00B92F3C">
      <w:pPr>
        <w:pStyle w:val="Normal9pt"/>
        <w:numPr>
          <w:ilvl w:val="0"/>
          <w:numId w:val="6"/>
        </w:numPr>
        <w:ind w:left="567" w:hanging="567"/>
        <w:rPr>
          <w:rFonts w:ascii="Verdana" w:hAnsi="Verdana"/>
          <w:sz w:val="20"/>
          <w:szCs w:val="20"/>
          <w:lang w:val="es-CO"/>
        </w:rPr>
      </w:pPr>
      <w:r w:rsidRPr="00D557C1">
        <w:rPr>
          <w:rFonts w:ascii="Verdana" w:hAnsi="Verdana"/>
          <w:sz w:val="20"/>
          <w:szCs w:val="20"/>
          <w:lang w:val="es-CO"/>
        </w:rPr>
        <w:t>Banda 1: 1 de enero al 31 de marzo.</w:t>
      </w:r>
    </w:p>
    <w:p w14:paraId="16ECCA60" w14:textId="77777777" w:rsidR="007C575F" w:rsidRDefault="007C575F" w:rsidP="007C575F">
      <w:pPr>
        <w:pStyle w:val="Normal9pt"/>
        <w:numPr>
          <w:ilvl w:val="0"/>
          <w:numId w:val="0"/>
        </w:numPr>
        <w:ind w:left="567"/>
        <w:rPr>
          <w:rFonts w:ascii="Verdana" w:hAnsi="Verdana"/>
          <w:sz w:val="20"/>
          <w:szCs w:val="20"/>
          <w:lang w:val="es-CO"/>
        </w:rPr>
      </w:pPr>
    </w:p>
    <w:p w14:paraId="7D692C78" w14:textId="77777777" w:rsidR="007C575F" w:rsidRDefault="006C7ACA" w:rsidP="00B92F3C">
      <w:pPr>
        <w:pStyle w:val="Normal9pt"/>
        <w:numPr>
          <w:ilvl w:val="0"/>
          <w:numId w:val="6"/>
        </w:numPr>
        <w:ind w:left="567" w:hanging="567"/>
        <w:rPr>
          <w:rFonts w:ascii="Verdana" w:hAnsi="Verdana"/>
          <w:sz w:val="20"/>
          <w:szCs w:val="20"/>
          <w:lang w:val="es-CO"/>
        </w:rPr>
      </w:pPr>
      <w:r w:rsidRPr="007C575F">
        <w:rPr>
          <w:rFonts w:ascii="Verdana" w:hAnsi="Verdana"/>
          <w:sz w:val="20"/>
          <w:szCs w:val="20"/>
          <w:lang w:val="es-CO"/>
        </w:rPr>
        <w:t>Banda 2: 1 de abril al 30 de junio.</w:t>
      </w:r>
    </w:p>
    <w:p w14:paraId="46DBE297" w14:textId="77777777" w:rsidR="007C575F" w:rsidRDefault="007C575F" w:rsidP="007C575F">
      <w:pPr>
        <w:pStyle w:val="Prrafodelista"/>
        <w:rPr>
          <w:rFonts w:ascii="Verdana" w:hAnsi="Verdana"/>
          <w:sz w:val="20"/>
          <w:szCs w:val="20"/>
          <w:lang w:val="es-CO"/>
        </w:rPr>
      </w:pPr>
    </w:p>
    <w:p w14:paraId="633D4249" w14:textId="77777777" w:rsidR="007C575F" w:rsidRDefault="006C7ACA" w:rsidP="00B92F3C">
      <w:pPr>
        <w:pStyle w:val="Normal9pt"/>
        <w:numPr>
          <w:ilvl w:val="0"/>
          <w:numId w:val="6"/>
        </w:numPr>
        <w:ind w:left="567" w:hanging="567"/>
        <w:rPr>
          <w:rFonts w:ascii="Verdana" w:hAnsi="Verdana"/>
          <w:sz w:val="20"/>
          <w:szCs w:val="20"/>
          <w:lang w:val="es-CO"/>
        </w:rPr>
      </w:pPr>
      <w:r w:rsidRPr="007C575F">
        <w:rPr>
          <w:rFonts w:ascii="Verdana" w:hAnsi="Verdana"/>
          <w:sz w:val="20"/>
          <w:szCs w:val="20"/>
          <w:lang w:val="es-CO"/>
        </w:rPr>
        <w:t>Banda 3: 1 de julio al 30 de septiembre</w:t>
      </w:r>
      <w:r w:rsidR="00107B98" w:rsidRPr="007C575F">
        <w:rPr>
          <w:rFonts w:ascii="Verdana" w:hAnsi="Verdana"/>
          <w:sz w:val="20"/>
          <w:szCs w:val="20"/>
          <w:lang w:val="es-CO"/>
        </w:rPr>
        <w:t>.</w:t>
      </w:r>
    </w:p>
    <w:p w14:paraId="4024DC56" w14:textId="77777777" w:rsidR="007C575F" w:rsidRDefault="007C575F" w:rsidP="007C575F">
      <w:pPr>
        <w:pStyle w:val="Prrafodelista"/>
        <w:rPr>
          <w:rFonts w:ascii="Verdana" w:hAnsi="Verdana"/>
          <w:sz w:val="20"/>
          <w:szCs w:val="20"/>
          <w:lang w:val="es-CO"/>
        </w:rPr>
      </w:pPr>
    </w:p>
    <w:p w14:paraId="4B7FC33E" w14:textId="6CCF2EA4" w:rsidR="006C7ACA" w:rsidRPr="007C575F" w:rsidRDefault="006C7ACA" w:rsidP="00B92F3C">
      <w:pPr>
        <w:pStyle w:val="Normal9pt"/>
        <w:numPr>
          <w:ilvl w:val="0"/>
          <w:numId w:val="6"/>
        </w:numPr>
        <w:ind w:left="567" w:hanging="567"/>
        <w:rPr>
          <w:rFonts w:ascii="Verdana" w:hAnsi="Verdana"/>
          <w:sz w:val="20"/>
          <w:szCs w:val="20"/>
          <w:lang w:val="es-CO"/>
        </w:rPr>
      </w:pPr>
      <w:r w:rsidRPr="007C575F">
        <w:rPr>
          <w:rFonts w:ascii="Verdana" w:hAnsi="Verdana"/>
          <w:sz w:val="20"/>
          <w:szCs w:val="20"/>
          <w:lang w:val="es-CO"/>
        </w:rPr>
        <w:t>Banda 4: 1 de octubre al 31 de diciembre</w:t>
      </w:r>
      <w:r w:rsidR="00107B98" w:rsidRPr="007C575F">
        <w:rPr>
          <w:rFonts w:ascii="Verdana" w:hAnsi="Verdana"/>
          <w:sz w:val="20"/>
          <w:szCs w:val="20"/>
          <w:lang w:val="es-CO"/>
        </w:rPr>
        <w:t>.</w:t>
      </w:r>
    </w:p>
    <w:p w14:paraId="7F720699" w14:textId="77777777" w:rsidR="006C7ACA" w:rsidRPr="00D557C1" w:rsidRDefault="006C7ACA" w:rsidP="00D557C1">
      <w:pPr>
        <w:pStyle w:val="Normal9pt"/>
        <w:numPr>
          <w:ilvl w:val="0"/>
          <w:numId w:val="0"/>
        </w:numPr>
        <w:rPr>
          <w:rFonts w:ascii="Verdana" w:hAnsi="Verdana"/>
          <w:sz w:val="20"/>
          <w:szCs w:val="20"/>
          <w:lang w:val="es-CO"/>
        </w:rPr>
      </w:pPr>
    </w:p>
    <w:p w14:paraId="54741D0F" w14:textId="77777777" w:rsidR="006C7ACA" w:rsidRPr="00107B98" w:rsidRDefault="00C2207E" w:rsidP="00B92F3C">
      <w:pPr>
        <w:pStyle w:val="Normal9pt"/>
        <w:numPr>
          <w:ilvl w:val="0"/>
          <w:numId w:val="13"/>
        </w:numPr>
        <w:ind w:left="567" w:hanging="283"/>
        <w:rPr>
          <w:rFonts w:ascii="Verdana" w:hAnsi="Verdana"/>
          <w:b/>
          <w:bCs/>
          <w:sz w:val="20"/>
          <w:szCs w:val="20"/>
          <w:lang w:val="es-CO"/>
        </w:rPr>
      </w:pPr>
      <w:r w:rsidRPr="00107B98">
        <w:rPr>
          <w:rFonts w:ascii="Verdana" w:hAnsi="Verdana"/>
          <w:b/>
          <w:bCs/>
          <w:sz w:val="20"/>
          <w:szCs w:val="20"/>
          <w:lang w:val="es-CO"/>
        </w:rPr>
        <w:t>Flujos contractuales</w:t>
      </w:r>
    </w:p>
    <w:p w14:paraId="058B9D7F" w14:textId="77777777" w:rsidR="006C7ACA" w:rsidRPr="00107B98" w:rsidRDefault="006C7ACA" w:rsidP="00D557C1">
      <w:pPr>
        <w:pStyle w:val="Normal9pt"/>
        <w:numPr>
          <w:ilvl w:val="0"/>
          <w:numId w:val="0"/>
        </w:numPr>
        <w:rPr>
          <w:rFonts w:ascii="Verdana" w:hAnsi="Verdana"/>
          <w:sz w:val="20"/>
          <w:szCs w:val="20"/>
          <w:lang w:val="es-CO"/>
        </w:rPr>
      </w:pPr>
    </w:p>
    <w:p w14:paraId="5825CAD5"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30</w:t>
      </w:r>
      <w:r w:rsidRPr="007C56A4">
        <w:rPr>
          <w:rFonts w:ascii="Verdana" w:hAnsi="Verdana"/>
          <w:spacing w:val="0"/>
          <w:sz w:val="20"/>
          <w:szCs w:val="20"/>
          <w:lang w:val="es-CO"/>
        </w:rPr>
        <w:t>.</w:t>
      </w:r>
    </w:p>
    <w:p w14:paraId="3CE321F9"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entidades deben estimar el valor de los flujos de </w:t>
      </w:r>
      <w:proofErr w:type="gramStart"/>
      <w:r w:rsidRPr="00D557C1">
        <w:rPr>
          <w:rFonts w:ascii="Verdana" w:hAnsi="Verdana"/>
          <w:sz w:val="20"/>
          <w:szCs w:val="20"/>
          <w:lang w:val="es-CO"/>
        </w:rPr>
        <w:t>egresos contractuales y los ingresos contractuales</w:t>
      </w:r>
      <w:proofErr w:type="gramEnd"/>
      <w:r w:rsidRPr="00D557C1">
        <w:rPr>
          <w:rFonts w:ascii="Verdana" w:hAnsi="Verdana"/>
          <w:sz w:val="20"/>
          <w:szCs w:val="20"/>
          <w:lang w:val="es-CO"/>
        </w:rPr>
        <w:t xml:space="preserve"> para cada una de las bandas de tiempo definidas. Dicha estimación debe suponer que la entidad se ve afectada por las condiciones propuestas en cada trimestre del primer año de cada uno de los escenarios suministrados. </w:t>
      </w:r>
    </w:p>
    <w:p w14:paraId="709B2A11" w14:textId="77777777" w:rsidR="006C7ACA" w:rsidRDefault="006C7ACA" w:rsidP="00D557C1">
      <w:pPr>
        <w:pStyle w:val="Normal9pt"/>
        <w:numPr>
          <w:ilvl w:val="0"/>
          <w:numId w:val="0"/>
        </w:numPr>
        <w:rPr>
          <w:rFonts w:ascii="Verdana" w:hAnsi="Verdana"/>
          <w:sz w:val="20"/>
          <w:szCs w:val="20"/>
          <w:lang w:val="es-CO"/>
        </w:rPr>
      </w:pPr>
    </w:p>
    <w:p w14:paraId="0BA9BB80"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31</w:t>
      </w:r>
      <w:r w:rsidRPr="007C56A4">
        <w:rPr>
          <w:rFonts w:ascii="Verdana" w:hAnsi="Verdana"/>
          <w:spacing w:val="0"/>
          <w:sz w:val="20"/>
          <w:szCs w:val="20"/>
          <w:lang w:val="es-CO"/>
        </w:rPr>
        <w:t>.</w:t>
      </w:r>
    </w:p>
    <w:p w14:paraId="098AD194" w14:textId="77777777" w:rsidR="00C2207E"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inversiones sobre las cuales exista un flujo contractual con cumplimiento dentro del horizonte del </w:t>
      </w:r>
      <w:proofErr w:type="gramStart"/>
      <w:r w:rsidRPr="00D557C1">
        <w:rPr>
          <w:rFonts w:ascii="Verdana" w:hAnsi="Verdana"/>
          <w:sz w:val="20"/>
          <w:szCs w:val="20"/>
          <w:lang w:val="es-CO"/>
        </w:rPr>
        <w:t>ejercicio,</w:t>
      </w:r>
      <w:proofErr w:type="gramEnd"/>
      <w:r w:rsidRPr="00D557C1">
        <w:rPr>
          <w:rFonts w:ascii="Verdana" w:hAnsi="Verdana"/>
          <w:sz w:val="20"/>
          <w:szCs w:val="20"/>
          <w:lang w:val="es-CO"/>
        </w:rPr>
        <w:t xml:space="preserve"> serán reemplazadas </w:t>
      </w:r>
      <w:r w:rsidR="00D736B3" w:rsidRPr="00D557C1">
        <w:rPr>
          <w:rFonts w:ascii="Verdana" w:hAnsi="Verdana"/>
          <w:sz w:val="20"/>
          <w:szCs w:val="20"/>
          <w:lang w:val="es-CO"/>
        </w:rPr>
        <w:t>por instrumentos financieros del mismo tipo y maduración que tenían en el año base de realización de las pruebas</w:t>
      </w:r>
      <w:r w:rsidR="00A3255F" w:rsidRPr="00D557C1">
        <w:rPr>
          <w:rFonts w:ascii="Verdana" w:hAnsi="Verdana"/>
          <w:sz w:val="20"/>
          <w:szCs w:val="20"/>
          <w:lang w:val="es-CO"/>
        </w:rPr>
        <w:t xml:space="preserve"> teniendo en cuenta los choques provistos por la SFC</w:t>
      </w:r>
      <w:r w:rsidRPr="00D557C1">
        <w:rPr>
          <w:rFonts w:ascii="Verdana" w:hAnsi="Verdana"/>
          <w:sz w:val="20"/>
          <w:szCs w:val="20"/>
          <w:lang w:val="es-CO"/>
        </w:rPr>
        <w:t>.</w:t>
      </w:r>
    </w:p>
    <w:p w14:paraId="2D96D776" w14:textId="77777777" w:rsidR="00107B98" w:rsidRDefault="00107B98" w:rsidP="00107B98">
      <w:pPr>
        <w:jc w:val="both"/>
        <w:rPr>
          <w:rFonts w:ascii="Verdana" w:hAnsi="Verdana"/>
          <w:spacing w:val="0"/>
          <w:sz w:val="20"/>
          <w:szCs w:val="20"/>
          <w:lang w:val="es-CO"/>
        </w:rPr>
      </w:pPr>
    </w:p>
    <w:p w14:paraId="7C53021E" w14:textId="77777777" w:rsidR="007C575F" w:rsidRDefault="007C575F" w:rsidP="00107B98">
      <w:pPr>
        <w:jc w:val="both"/>
        <w:rPr>
          <w:rFonts w:ascii="Verdana" w:hAnsi="Verdana"/>
          <w:spacing w:val="0"/>
          <w:sz w:val="20"/>
          <w:szCs w:val="20"/>
          <w:lang w:val="es-CO"/>
        </w:rPr>
      </w:pPr>
    </w:p>
    <w:p w14:paraId="6BE6D7E2" w14:textId="77777777" w:rsidR="007C575F" w:rsidRDefault="007C575F" w:rsidP="00107B98">
      <w:pPr>
        <w:jc w:val="both"/>
        <w:rPr>
          <w:rFonts w:ascii="Verdana" w:hAnsi="Verdana"/>
          <w:spacing w:val="0"/>
          <w:sz w:val="20"/>
          <w:szCs w:val="20"/>
          <w:lang w:val="es-CO"/>
        </w:rPr>
      </w:pPr>
    </w:p>
    <w:p w14:paraId="0ED4824B" w14:textId="17853249"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32</w:t>
      </w:r>
      <w:r w:rsidRPr="007C56A4">
        <w:rPr>
          <w:rFonts w:ascii="Verdana" w:hAnsi="Verdana"/>
          <w:spacing w:val="0"/>
          <w:sz w:val="20"/>
          <w:szCs w:val="20"/>
          <w:lang w:val="es-CO"/>
        </w:rPr>
        <w:t>.</w:t>
      </w:r>
    </w:p>
    <w:p w14:paraId="0997221C" w14:textId="77777777" w:rsidR="00242EA4"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Dentro de los ingresos contractuales, las entidades deben estimar de manera consistente con cada uno de los escenarios los ingresos por cartera, derechos de transferencia y otros ingresos que se encuentren definidos y claramente pactados para cada una de las bandas de tiempo. En el cálculo de los egresos contractuales deben tener en cuenta los vencimientos de los </w:t>
      </w:r>
      <w:proofErr w:type="spellStart"/>
      <w:r w:rsidRPr="00D557C1">
        <w:rPr>
          <w:rFonts w:ascii="Verdana" w:hAnsi="Verdana"/>
          <w:sz w:val="20"/>
          <w:szCs w:val="20"/>
          <w:lang w:val="es-CO"/>
        </w:rPr>
        <w:t>CDTs</w:t>
      </w:r>
      <w:proofErr w:type="spellEnd"/>
      <w:r w:rsidRPr="00D557C1">
        <w:rPr>
          <w:rFonts w:ascii="Verdana" w:hAnsi="Verdana"/>
          <w:sz w:val="20"/>
          <w:szCs w:val="20"/>
          <w:lang w:val="es-CO"/>
        </w:rPr>
        <w:t xml:space="preserve">, otros títulos de deuda emitidos por la entidad, obligaciones financieras y otros egresos contractuales. </w:t>
      </w:r>
    </w:p>
    <w:p w14:paraId="06043BC1" w14:textId="77777777" w:rsidR="00C2207E" w:rsidRPr="00D557C1" w:rsidRDefault="00C2207E" w:rsidP="00D557C1">
      <w:pPr>
        <w:pStyle w:val="Normal9pt"/>
        <w:numPr>
          <w:ilvl w:val="0"/>
          <w:numId w:val="0"/>
        </w:numPr>
        <w:rPr>
          <w:rFonts w:ascii="Verdana" w:hAnsi="Verdana"/>
          <w:sz w:val="20"/>
          <w:szCs w:val="20"/>
          <w:lang w:val="es-CO"/>
        </w:rPr>
      </w:pPr>
    </w:p>
    <w:p w14:paraId="6B751BB3" w14:textId="77777777" w:rsidR="006C7ACA" w:rsidRPr="00107B98" w:rsidRDefault="00C2207E" w:rsidP="00B92F3C">
      <w:pPr>
        <w:pStyle w:val="Normal9pt"/>
        <w:numPr>
          <w:ilvl w:val="0"/>
          <w:numId w:val="13"/>
        </w:numPr>
        <w:ind w:left="567" w:hanging="283"/>
        <w:rPr>
          <w:rFonts w:ascii="Verdana" w:hAnsi="Verdana"/>
          <w:b/>
          <w:bCs/>
          <w:sz w:val="20"/>
          <w:szCs w:val="20"/>
          <w:lang w:val="es-CO"/>
        </w:rPr>
      </w:pPr>
      <w:r w:rsidRPr="00107B98">
        <w:rPr>
          <w:rFonts w:ascii="Verdana" w:hAnsi="Verdana"/>
          <w:b/>
          <w:bCs/>
          <w:sz w:val="20"/>
          <w:szCs w:val="20"/>
          <w:lang w:val="es-CO"/>
        </w:rPr>
        <w:t>Flujos no contractuales</w:t>
      </w:r>
    </w:p>
    <w:p w14:paraId="06B491E6" w14:textId="77777777" w:rsidR="006C7ACA" w:rsidRDefault="006C7ACA" w:rsidP="00D557C1">
      <w:pPr>
        <w:pStyle w:val="Normal9pt"/>
        <w:numPr>
          <w:ilvl w:val="0"/>
          <w:numId w:val="0"/>
        </w:numPr>
        <w:rPr>
          <w:rFonts w:ascii="Verdana" w:hAnsi="Verdana"/>
          <w:sz w:val="20"/>
          <w:szCs w:val="20"/>
          <w:lang w:val="es-CO"/>
        </w:rPr>
      </w:pPr>
    </w:p>
    <w:p w14:paraId="584DDF5F"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33</w:t>
      </w:r>
      <w:r w:rsidRPr="007C56A4">
        <w:rPr>
          <w:rFonts w:ascii="Verdana" w:hAnsi="Verdana"/>
          <w:spacing w:val="0"/>
          <w:sz w:val="20"/>
          <w:szCs w:val="20"/>
          <w:lang w:val="es-CO"/>
        </w:rPr>
        <w:t>.</w:t>
      </w:r>
    </w:p>
    <w:p w14:paraId="3E7F2FE8"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La estimación de los flujos no contractuales debe estar justificada en el informe cualitativo y se debe realizar teniendo en cuenta los escenarios suministrados y las proyecciones de los estados financieros.</w:t>
      </w:r>
    </w:p>
    <w:p w14:paraId="305D9C71" w14:textId="77777777" w:rsidR="006C7ACA" w:rsidRDefault="006C7ACA" w:rsidP="00D557C1">
      <w:pPr>
        <w:pStyle w:val="Normal9pt"/>
        <w:numPr>
          <w:ilvl w:val="0"/>
          <w:numId w:val="0"/>
        </w:numPr>
        <w:rPr>
          <w:rFonts w:ascii="Verdana" w:hAnsi="Verdana"/>
          <w:sz w:val="20"/>
          <w:szCs w:val="20"/>
          <w:lang w:val="es-CO"/>
        </w:rPr>
      </w:pPr>
    </w:p>
    <w:p w14:paraId="124767A1"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34</w:t>
      </w:r>
      <w:r w:rsidRPr="007C56A4">
        <w:rPr>
          <w:rFonts w:ascii="Verdana" w:hAnsi="Verdana"/>
          <w:spacing w:val="0"/>
          <w:sz w:val="20"/>
          <w:szCs w:val="20"/>
          <w:lang w:val="es-CO"/>
        </w:rPr>
        <w:t>.</w:t>
      </w:r>
    </w:p>
    <w:p w14:paraId="585F5764"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Para el caso de los saldos de depósitos en cuentas corrientes y de ahorro, debe tenerse en cuenta que la estabilidad (tiempo de permanencia) sea coherente con cada uno de los escenarios propuestos. Para el efecto, las entidades deben estimar a partir de modelos propios los Factores de Retiros Netos (FRN)</w:t>
      </w:r>
      <w:r w:rsidR="00BE1F58" w:rsidRPr="00D557C1">
        <w:rPr>
          <w:rFonts w:ascii="Verdana" w:hAnsi="Verdana"/>
          <w:sz w:val="20"/>
          <w:szCs w:val="20"/>
          <w:lang w:val="es-CO"/>
        </w:rPr>
        <w:t xml:space="preserve"> </w:t>
      </w:r>
      <w:r w:rsidR="00644570" w:rsidRPr="00D557C1">
        <w:rPr>
          <w:rFonts w:ascii="Verdana" w:hAnsi="Verdana"/>
          <w:sz w:val="20"/>
          <w:szCs w:val="20"/>
          <w:lang w:val="es-CO"/>
        </w:rPr>
        <w:t>a 90 días</w:t>
      </w:r>
      <w:r w:rsidRPr="00D557C1">
        <w:rPr>
          <w:rFonts w:ascii="Verdana" w:hAnsi="Verdana"/>
          <w:sz w:val="20"/>
          <w:szCs w:val="20"/>
          <w:lang w:val="es-CO"/>
        </w:rPr>
        <w:t>.</w:t>
      </w:r>
    </w:p>
    <w:p w14:paraId="5CA8713E" w14:textId="77777777" w:rsidR="006C7ACA" w:rsidRDefault="006C7ACA" w:rsidP="00D557C1">
      <w:pPr>
        <w:pStyle w:val="Normal9pt"/>
        <w:numPr>
          <w:ilvl w:val="0"/>
          <w:numId w:val="0"/>
        </w:numPr>
        <w:rPr>
          <w:rFonts w:ascii="Verdana" w:hAnsi="Verdana"/>
          <w:sz w:val="20"/>
          <w:szCs w:val="20"/>
          <w:lang w:val="es-CO"/>
        </w:rPr>
      </w:pPr>
    </w:p>
    <w:p w14:paraId="450D302A"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35</w:t>
      </w:r>
      <w:r w:rsidRPr="007C56A4">
        <w:rPr>
          <w:rFonts w:ascii="Verdana" w:hAnsi="Verdana"/>
          <w:spacing w:val="0"/>
          <w:sz w:val="20"/>
          <w:szCs w:val="20"/>
          <w:lang w:val="es-CO"/>
        </w:rPr>
        <w:t>.</w:t>
      </w:r>
    </w:p>
    <w:p w14:paraId="25FD9087" w14:textId="77777777" w:rsidR="006C7ACA" w:rsidRPr="00D557C1" w:rsidRDefault="00107B98" w:rsidP="00D557C1">
      <w:pPr>
        <w:pStyle w:val="Normal9pt"/>
        <w:numPr>
          <w:ilvl w:val="0"/>
          <w:numId w:val="0"/>
        </w:numPr>
        <w:rPr>
          <w:rFonts w:ascii="Verdana" w:hAnsi="Verdana"/>
          <w:sz w:val="20"/>
          <w:szCs w:val="20"/>
          <w:lang w:val="es-CO"/>
        </w:rPr>
      </w:pPr>
      <w:r>
        <w:rPr>
          <w:rFonts w:ascii="Verdana" w:hAnsi="Verdana"/>
          <w:sz w:val="20"/>
          <w:szCs w:val="20"/>
          <w:lang w:val="es-CO"/>
        </w:rPr>
        <w:t>L</w:t>
      </w:r>
      <w:r w:rsidR="00017B56" w:rsidRPr="00D557C1">
        <w:rPr>
          <w:rFonts w:ascii="Verdana" w:hAnsi="Verdana"/>
          <w:sz w:val="20"/>
          <w:szCs w:val="20"/>
          <w:lang w:val="es-CO"/>
        </w:rPr>
        <w:t>as entidades del Grupo 1</w:t>
      </w:r>
      <w:r w:rsidR="006C7ACA" w:rsidRPr="00D557C1">
        <w:rPr>
          <w:rFonts w:ascii="Verdana" w:hAnsi="Verdana"/>
          <w:sz w:val="20"/>
          <w:szCs w:val="20"/>
          <w:lang w:val="es-CO"/>
        </w:rPr>
        <w:t xml:space="preserve"> deben segmentar el total de depositantes de </w:t>
      </w:r>
      <w:r>
        <w:rPr>
          <w:rFonts w:ascii="Verdana" w:hAnsi="Verdana"/>
          <w:sz w:val="20"/>
          <w:szCs w:val="20"/>
          <w:lang w:val="es-CO"/>
        </w:rPr>
        <w:t xml:space="preserve">las </w:t>
      </w:r>
      <w:r w:rsidR="006C7ACA" w:rsidRPr="00D557C1">
        <w:rPr>
          <w:rFonts w:ascii="Verdana" w:hAnsi="Verdana"/>
          <w:sz w:val="20"/>
          <w:szCs w:val="20"/>
          <w:lang w:val="es-CO"/>
        </w:rPr>
        <w:t>cuentas de ahorro y cuentas corrientes como mínimo en l</w:t>
      </w:r>
      <w:r w:rsidR="00017B56" w:rsidRPr="00D557C1">
        <w:rPr>
          <w:rFonts w:ascii="Verdana" w:hAnsi="Verdana"/>
          <w:sz w:val="20"/>
          <w:szCs w:val="20"/>
          <w:lang w:val="es-CO"/>
        </w:rPr>
        <w:t>a</w:t>
      </w:r>
      <w:r w:rsidR="006C7ACA" w:rsidRPr="00D557C1">
        <w:rPr>
          <w:rFonts w:ascii="Verdana" w:hAnsi="Verdana"/>
          <w:sz w:val="20"/>
          <w:szCs w:val="20"/>
          <w:lang w:val="es-CO"/>
        </w:rPr>
        <w:t xml:space="preserve">s siguientes seis </w:t>
      </w:r>
      <w:r w:rsidR="00017B56" w:rsidRPr="00D557C1">
        <w:rPr>
          <w:rFonts w:ascii="Verdana" w:hAnsi="Verdana"/>
          <w:sz w:val="20"/>
          <w:szCs w:val="20"/>
          <w:lang w:val="es-CO"/>
        </w:rPr>
        <w:t>categorías</w:t>
      </w:r>
      <w:r w:rsidR="006C7ACA" w:rsidRPr="00D557C1">
        <w:rPr>
          <w:rFonts w:ascii="Verdana" w:hAnsi="Verdana"/>
          <w:sz w:val="20"/>
          <w:szCs w:val="20"/>
          <w:lang w:val="es-CO"/>
        </w:rPr>
        <w:t xml:space="preserve">: </w:t>
      </w:r>
    </w:p>
    <w:p w14:paraId="770890B7" w14:textId="77777777" w:rsidR="00107B98" w:rsidRPr="00D557C1" w:rsidRDefault="00107B98" w:rsidP="00D557C1">
      <w:pPr>
        <w:pStyle w:val="Normal9pt"/>
        <w:numPr>
          <w:ilvl w:val="0"/>
          <w:numId w:val="0"/>
        </w:numPr>
        <w:rPr>
          <w:rFonts w:ascii="Verdana" w:hAnsi="Verdana"/>
          <w:sz w:val="20"/>
          <w:szCs w:val="20"/>
          <w:lang w:val="es-CO"/>
        </w:rPr>
      </w:pPr>
    </w:p>
    <w:p w14:paraId="1EA4C59A" w14:textId="77777777" w:rsidR="006C7ACA"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Entidades gubernamentales</w:t>
      </w:r>
    </w:p>
    <w:p w14:paraId="323D6802" w14:textId="77777777" w:rsidR="00107B98" w:rsidRPr="00D557C1" w:rsidRDefault="00107B98" w:rsidP="007C575F">
      <w:pPr>
        <w:pStyle w:val="Normal9pt"/>
        <w:numPr>
          <w:ilvl w:val="0"/>
          <w:numId w:val="0"/>
        </w:numPr>
        <w:ind w:left="567" w:hanging="567"/>
        <w:rPr>
          <w:rFonts w:ascii="Verdana" w:hAnsi="Verdana"/>
          <w:sz w:val="20"/>
          <w:szCs w:val="20"/>
          <w:lang w:val="es-CO"/>
        </w:rPr>
      </w:pPr>
    </w:p>
    <w:p w14:paraId="78CBDE01" w14:textId="77777777" w:rsidR="006C7ACA"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Fondos de inversión colectiva</w:t>
      </w:r>
    </w:p>
    <w:p w14:paraId="4010BEEE" w14:textId="77777777" w:rsidR="00107B98" w:rsidRPr="00D557C1" w:rsidRDefault="00107B98" w:rsidP="007C575F">
      <w:pPr>
        <w:pStyle w:val="Normal9pt"/>
        <w:numPr>
          <w:ilvl w:val="0"/>
          <w:numId w:val="0"/>
        </w:numPr>
        <w:ind w:left="567" w:hanging="567"/>
        <w:rPr>
          <w:rFonts w:ascii="Verdana" w:hAnsi="Verdana"/>
          <w:sz w:val="20"/>
          <w:szCs w:val="20"/>
          <w:lang w:val="es-CO"/>
        </w:rPr>
      </w:pPr>
    </w:p>
    <w:p w14:paraId="5D797FF5" w14:textId="77777777" w:rsidR="006C7ACA"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Otros institucionales (fondos de pensiones, aseguradoras, entre otros)</w:t>
      </w:r>
    </w:p>
    <w:p w14:paraId="192ECF7F" w14:textId="77777777" w:rsidR="00107B98" w:rsidRPr="00D557C1" w:rsidRDefault="00107B98" w:rsidP="007C575F">
      <w:pPr>
        <w:pStyle w:val="Normal9pt"/>
        <w:numPr>
          <w:ilvl w:val="0"/>
          <w:numId w:val="0"/>
        </w:numPr>
        <w:ind w:left="567" w:hanging="567"/>
        <w:rPr>
          <w:rFonts w:ascii="Verdana" w:hAnsi="Verdana"/>
          <w:sz w:val="20"/>
          <w:szCs w:val="20"/>
          <w:lang w:val="es-CO"/>
        </w:rPr>
      </w:pPr>
    </w:p>
    <w:p w14:paraId="33DAE76C" w14:textId="77777777" w:rsidR="006C7ACA"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Principales clientes</w:t>
      </w:r>
    </w:p>
    <w:p w14:paraId="6FECDB1F" w14:textId="77777777" w:rsidR="00107B98" w:rsidRDefault="00107B98" w:rsidP="007C575F">
      <w:pPr>
        <w:pStyle w:val="Prrafodelista"/>
        <w:ind w:left="567" w:hanging="567"/>
        <w:rPr>
          <w:rFonts w:ascii="Verdana" w:hAnsi="Verdana"/>
          <w:sz w:val="20"/>
          <w:szCs w:val="20"/>
          <w:lang w:val="es-CO"/>
        </w:rPr>
      </w:pPr>
    </w:p>
    <w:p w14:paraId="6C9F19A3" w14:textId="77777777" w:rsidR="006C7ACA"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Minoristas</w:t>
      </w:r>
    </w:p>
    <w:p w14:paraId="2EA77947" w14:textId="77777777" w:rsidR="00107B98" w:rsidRPr="00D557C1" w:rsidRDefault="00107B98" w:rsidP="007C575F">
      <w:pPr>
        <w:pStyle w:val="Normal9pt"/>
        <w:numPr>
          <w:ilvl w:val="0"/>
          <w:numId w:val="0"/>
        </w:numPr>
        <w:ind w:left="567" w:hanging="567"/>
        <w:rPr>
          <w:rFonts w:ascii="Verdana" w:hAnsi="Verdana"/>
          <w:sz w:val="20"/>
          <w:szCs w:val="20"/>
          <w:lang w:val="es-CO"/>
        </w:rPr>
      </w:pPr>
    </w:p>
    <w:p w14:paraId="69E46465" w14:textId="77777777" w:rsidR="006C7ACA" w:rsidRPr="00D557C1" w:rsidRDefault="006C7ACA" w:rsidP="00B92F3C">
      <w:pPr>
        <w:pStyle w:val="Normal9pt"/>
        <w:numPr>
          <w:ilvl w:val="0"/>
          <w:numId w:val="7"/>
        </w:numPr>
        <w:ind w:left="567" w:hanging="567"/>
        <w:rPr>
          <w:rFonts w:ascii="Verdana" w:hAnsi="Verdana"/>
          <w:sz w:val="20"/>
          <w:szCs w:val="20"/>
          <w:lang w:val="es-CO"/>
        </w:rPr>
      </w:pPr>
      <w:r w:rsidRPr="00D557C1">
        <w:rPr>
          <w:rFonts w:ascii="Verdana" w:hAnsi="Verdana"/>
          <w:sz w:val="20"/>
          <w:szCs w:val="20"/>
          <w:lang w:val="es-CO"/>
        </w:rPr>
        <w:t>Otros</w:t>
      </w:r>
    </w:p>
    <w:p w14:paraId="79EC5B18" w14:textId="77777777" w:rsidR="006C7ACA" w:rsidRDefault="006C7ACA" w:rsidP="00D557C1">
      <w:pPr>
        <w:pStyle w:val="Normal9pt"/>
        <w:numPr>
          <w:ilvl w:val="0"/>
          <w:numId w:val="0"/>
        </w:numPr>
        <w:rPr>
          <w:rFonts w:ascii="Verdana" w:hAnsi="Verdana"/>
          <w:sz w:val="20"/>
          <w:szCs w:val="20"/>
          <w:lang w:val="es-CO"/>
        </w:rPr>
      </w:pPr>
    </w:p>
    <w:p w14:paraId="7B6F90D7"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36</w:t>
      </w:r>
      <w:r w:rsidRPr="007C56A4">
        <w:rPr>
          <w:rFonts w:ascii="Verdana" w:hAnsi="Verdana"/>
          <w:spacing w:val="0"/>
          <w:sz w:val="20"/>
          <w:szCs w:val="20"/>
          <w:lang w:val="es-CO"/>
        </w:rPr>
        <w:t>.</w:t>
      </w:r>
    </w:p>
    <w:p w14:paraId="02148251"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Cada depositante sólo podrá ser clasificado en una categoría, es decir </w:t>
      </w:r>
      <w:r w:rsidR="00107B98">
        <w:rPr>
          <w:rFonts w:ascii="Verdana" w:hAnsi="Verdana"/>
          <w:sz w:val="20"/>
          <w:szCs w:val="20"/>
          <w:lang w:val="es-CO"/>
        </w:rPr>
        <w:t xml:space="preserve">las categorías </w:t>
      </w:r>
      <w:r w:rsidRPr="00D557C1">
        <w:rPr>
          <w:rFonts w:ascii="Verdana" w:hAnsi="Verdana"/>
          <w:sz w:val="20"/>
          <w:szCs w:val="20"/>
          <w:lang w:val="es-CO"/>
        </w:rPr>
        <w:t>son excluyentes.</w:t>
      </w:r>
      <w:r w:rsidR="00017B56" w:rsidRPr="00D557C1">
        <w:rPr>
          <w:rFonts w:ascii="Verdana" w:hAnsi="Verdana"/>
          <w:sz w:val="20"/>
          <w:szCs w:val="20"/>
          <w:lang w:val="es-CO"/>
        </w:rPr>
        <w:t xml:space="preserve"> La categoría a la </w:t>
      </w:r>
      <w:r w:rsidRPr="00D557C1">
        <w:rPr>
          <w:rFonts w:ascii="Verdana" w:hAnsi="Verdana"/>
          <w:sz w:val="20"/>
          <w:szCs w:val="20"/>
          <w:lang w:val="es-CO"/>
        </w:rPr>
        <w:t xml:space="preserve">que se </w:t>
      </w:r>
      <w:r w:rsidRPr="005462B8">
        <w:rPr>
          <w:rFonts w:ascii="Verdana" w:hAnsi="Verdana"/>
          <w:sz w:val="20"/>
          <w:szCs w:val="20"/>
          <w:lang w:val="es-CO"/>
        </w:rPr>
        <w:t xml:space="preserve">refiere </w:t>
      </w:r>
      <w:r w:rsidR="005462B8" w:rsidRPr="005462B8">
        <w:rPr>
          <w:rFonts w:ascii="Verdana" w:hAnsi="Verdana"/>
          <w:sz w:val="20"/>
          <w:szCs w:val="20"/>
          <w:lang w:val="es-CO"/>
        </w:rPr>
        <w:t xml:space="preserve">el literal </w:t>
      </w:r>
      <w:r w:rsidR="005462B8">
        <w:rPr>
          <w:rFonts w:ascii="Verdana" w:hAnsi="Verdana"/>
          <w:sz w:val="20"/>
          <w:szCs w:val="20"/>
          <w:lang w:val="es-CO"/>
        </w:rPr>
        <w:t>(</w:t>
      </w:r>
      <w:r w:rsidR="005462B8" w:rsidRPr="005462B8">
        <w:rPr>
          <w:rFonts w:ascii="Verdana" w:hAnsi="Verdana"/>
          <w:sz w:val="20"/>
          <w:szCs w:val="20"/>
          <w:lang w:val="es-CO"/>
        </w:rPr>
        <w:t>d</w:t>
      </w:r>
      <w:r w:rsidR="005462B8">
        <w:rPr>
          <w:rFonts w:ascii="Verdana" w:hAnsi="Verdana"/>
          <w:sz w:val="20"/>
          <w:szCs w:val="20"/>
          <w:lang w:val="es-CO"/>
        </w:rPr>
        <w:t>)</w:t>
      </w:r>
      <w:r w:rsidR="005462B8" w:rsidRPr="005462B8">
        <w:rPr>
          <w:rFonts w:ascii="Verdana" w:hAnsi="Verdana"/>
          <w:sz w:val="20"/>
          <w:szCs w:val="20"/>
          <w:lang w:val="es-CO"/>
        </w:rPr>
        <w:t xml:space="preserve"> d</w:t>
      </w:r>
      <w:r w:rsidRPr="005462B8">
        <w:rPr>
          <w:rFonts w:ascii="Verdana" w:hAnsi="Verdana"/>
          <w:sz w:val="20"/>
          <w:szCs w:val="20"/>
          <w:lang w:val="es-CO"/>
        </w:rPr>
        <w:t xml:space="preserve">el </w:t>
      </w:r>
      <w:r w:rsidR="005462B8" w:rsidRPr="005462B8">
        <w:rPr>
          <w:rFonts w:ascii="Verdana" w:hAnsi="Verdana"/>
          <w:sz w:val="20"/>
          <w:szCs w:val="20"/>
          <w:lang w:val="es-CO"/>
        </w:rPr>
        <w:t>párrafo 2.9.A1.35</w:t>
      </w:r>
      <w:r w:rsidRPr="005462B8">
        <w:rPr>
          <w:rFonts w:ascii="Verdana" w:hAnsi="Verdana"/>
          <w:sz w:val="20"/>
          <w:szCs w:val="20"/>
          <w:lang w:val="es-CO"/>
        </w:rPr>
        <w:t>,</w:t>
      </w:r>
      <w:r w:rsidRPr="00D557C1">
        <w:rPr>
          <w:rFonts w:ascii="Verdana" w:hAnsi="Verdana"/>
          <w:sz w:val="20"/>
          <w:szCs w:val="20"/>
          <w:lang w:val="es-CO"/>
        </w:rPr>
        <w:t xml:space="preserve"> corresponde a los clientes individuales (máximo 3) para los cuales </w:t>
      </w:r>
      <w:r w:rsidR="00107B98">
        <w:rPr>
          <w:rFonts w:ascii="Verdana" w:hAnsi="Verdana"/>
          <w:sz w:val="20"/>
          <w:szCs w:val="20"/>
          <w:lang w:val="es-CO"/>
        </w:rPr>
        <w:t xml:space="preserve">la entidad </w:t>
      </w:r>
      <w:r w:rsidRPr="00D557C1">
        <w:rPr>
          <w:rFonts w:ascii="Verdana" w:hAnsi="Verdana"/>
          <w:sz w:val="20"/>
          <w:szCs w:val="20"/>
          <w:lang w:val="es-CO"/>
        </w:rPr>
        <w:t>debe calcular</w:t>
      </w:r>
      <w:r w:rsidR="00107B98">
        <w:rPr>
          <w:rFonts w:ascii="Verdana" w:hAnsi="Verdana"/>
          <w:sz w:val="20"/>
          <w:szCs w:val="20"/>
          <w:lang w:val="es-CO"/>
        </w:rPr>
        <w:t xml:space="preserve"> </w:t>
      </w:r>
      <w:r w:rsidRPr="00D557C1">
        <w:rPr>
          <w:rFonts w:ascii="Verdana" w:hAnsi="Verdana"/>
          <w:sz w:val="20"/>
          <w:szCs w:val="20"/>
          <w:lang w:val="es-CO"/>
        </w:rPr>
        <w:t xml:space="preserve">un FRN independiente por su relevancia en el total de depositantes y persistencia en el tiempo. </w:t>
      </w:r>
      <w:r w:rsidR="00D35189" w:rsidRPr="00D557C1">
        <w:rPr>
          <w:rFonts w:ascii="Verdana" w:hAnsi="Verdana"/>
          <w:sz w:val="20"/>
          <w:szCs w:val="20"/>
          <w:lang w:val="es-CO"/>
        </w:rPr>
        <w:t>Si la entidad no identifica al menos un depositante que mantenga un saldo significativo de manera persistente en la ventana de tiempo que estableció para el cálculo del FRN, no debe calcular dicho FRN.</w:t>
      </w:r>
    </w:p>
    <w:p w14:paraId="67D81ACA" w14:textId="77777777" w:rsidR="006C7ACA" w:rsidRDefault="006C7ACA" w:rsidP="00D557C1">
      <w:pPr>
        <w:pStyle w:val="Normal9pt"/>
        <w:numPr>
          <w:ilvl w:val="0"/>
          <w:numId w:val="0"/>
        </w:numPr>
        <w:rPr>
          <w:rFonts w:ascii="Verdana" w:hAnsi="Verdana"/>
          <w:sz w:val="20"/>
          <w:szCs w:val="20"/>
          <w:lang w:val="es-CO"/>
        </w:rPr>
      </w:pPr>
    </w:p>
    <w:p w14:paraId="6888AE85"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37</w:t>
      </w:r>
      <w:r w:rsidRPr="007C56A4">
        <w:rPr>
          <w:rFonts w:ascii="Verdana" w:hAnsi="Verdana"/>
          <w:spacing w:val="0"/>
          <w:sz w:val="20"/>
          <w:szCs w:val="20"/>
          <w:lang w:val="es-CO"/>
        </w:rPr>
        <w:t>.</w:t>
      </w:r>
    </w:p>
    <w:p w14:paraId="5E9C0DD0" w14:textId="77777777"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Para cada </w:t>
      </w:r>
      <w:r w:rsidR="00017B56" w:rsidRPr="00D557C1">
        <w:rPr>
          <w:rFonts w:ascii="Verdana" w:hAnsi="Verdana"/>
          <w:sz w:val="20"/>
          <w:szCs w:val="20"/>
          <w:lang w:val="es-CO"/>
        </w:rPr>
        <w:t>categoría</w:t>
      </w:r>
      <w:r w:rsidRPr="00D557C1">
        <w:rPr>
          <w:rFonts w:ascii="Verdana" w:hAnsi="Verdana"/>
          <w:sz w:val="20"/>
          <w:szCs w:val="20"/>
          <w:lang w:val="es-CO"/>
        </w:rPr>
        <w:t xml:space="preserve"> </w:t>
      </w:r>
      <w:r w:rsidR="00017B56" w:rsidRPr="00D557C1">
        <w:rPr>
          <w:rFonts w:ascii="Verdana" w:hAnsi="Verdana"/>
          <w:sz w:val="20"/>
          <w:szCs w:val="20"/>
          <w:lang w:val="es-CO"/>
        </w:rPr>
        <w:t>se</w:t>
      </w:r>
      <w:r w:rsidRPr="00D557C1">
        <w:rPr>
          <w:rFonts w:ascii="Verdana" w:hAnsi="Verdana"/>
          <w:sz w:val="20"/>
          <w:szCs w:val="20"/>
          <w:lang w:val="es-CO"/>
        </w:rPr>
        <w:t xml:space="preserve"> deben estimar</w:t>
      </w:r>
      <w:r w:rsidR="00107B98">
        <w:rPr>
          <w:rFonts w:ascii="Verdana" w:hAnsi="Verdana"/>
          <w:sz w:val="20"/>
          <w:szCs w:val="20"/>
          <w:lang w:val="es-CO"/>
        </w:rPr>
        <w:t>,</w:t>
      </w:r>
      <w:r w:rsidRPr="00D557C1">
        <w:rPr>
          <w:rFonts w:ascii="Verdana" w:hAnsi="Verdana"/>
          <w:sz w:val="20"/>
          <w:szCs w:val="20"/>
          <w:lang w:val="es-CO"/>
        </w:rPr>
        <w:t xml:space="preserve"> a partir de modelos propios</w:t>
      </w:r>
      <w:r w:rsidR="00107B98">
        <w:rPr>
          <w:rFonts w:ascii="Verdana" w:hAnsi="Verdana"/>
          <w:sz w:val="20"/>
          <w:szCs w:val="20"/>
          <w:lang w:val="es-CO"/>
        </w:rPr>
        <w:t>,</w:t>
      </w:r>
      <w:r w:rsidRPr="00D557C1">
        <w:rPr>
          <w:rFonts w:ascii="Verdana" w:hAnsi="Verdana"/>
          <w:sz w:val="20"/>
          <w:szCs w:val="20"/>
          <w:lang w:val="es-CO"/>
        </w:rPr>
        <w:t xml:space="preserve"> un FRN que sea consistente con cada uno de los escenarios. Para el escenario adverso en la medición del FRN se debe incorporar el supuesto de una corrida de depositantes, originada, entre otros factores, por una corrida de inversionistas en los vehículos de inversión colectiva, propia de un deterioro de su rentabilidad de acuerdo con el escenario propuesto.</w:t>
      </w:r>
    </w:p>
    <w:p w14:paraId="23CADB2D" w14:textId="77777777" w:rsidR="006C7ACA" w:rsidRDefault="006C7ACA" w:rsidP="00D557C1">
      <w:pPr>
        <w:pStyle w:val="Normal9pt"/>
        <w:numPr>
          <w:ilvl w:val="0"/>
          <w:numId w:val="0"/>
        </w:numPr>
        <w:rPr>
          <w:rFonts w:ascii="Verdana" w:hAnsi="Verdana"/>
          <w:sz w:val="20"/>
          <w:szCs w:val="20"/>
          <w:lang w:val="es-CO"/>
        </w:rPr>
      </w:pPr>
    </w:p>
    <w:p w14:paraId="3847156E"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38</w:t>
      </w:r>
      <w:r w:rsidRPr="007C56A4">
        <w:rPr>
          <w:rFonts w:ascii="Verdana" w:hAnsi="Verdana"/>
          <w:spacing w:val="0"/>
          <w:sz w:val="20"/>
          <w:szCs w:val="20"/>
          <w:lang w:val="es-CO"/>
        </w:rPr>
        <w:t>.</w:t>
      </w:r>
    </w:p>
    <w:p w14:paraId="1A0DECC3" w14:textId="77777777" w:rsidR="00017B56" w:rsidRPr="00D557C1" w:rsidRDefault="00107B98" w:rsidP="00D557C1">
      <w:pPr>
        <w:pStyle w:val="Normal9pt"/>
        <w:numPr>
          <w:ilvl w:val="0"/>
          <w:numId w:val="0"/>
        </w:numPr>
        <w:rPr>
          <w:rFonts w:ascii="Verdana" w:hAnsi="Verdana"/>
          <w:sz w:val="20"/>
          <w:szCs w:val="20"/>
          <w:lang w:val="es-CO"/>
        </w:rPr>
      </w:pPr>
      <w:r>
        <w:rPr>
          <w:rFonts w:ascii="Verdana" w:hAnsi="Verdana"/>
          <w:sz w:val="20"/>
          <w:szCs w:val="20"/>
          <w:lang w:val="es-CO"/>
        </w:rPr>
        <w:t>L</w:t>
      </w:r>
      <w:r w:rsidR="00017B56" w:rsidRPr="00D557C1">
        <w:rPr>
          <w:rFonts w:ascii="Verdana" w:hAnsi="Verdana"/>
          <w:sz w:val="20"/>
          <w:szCs w:val="20"/>
          <w:lang w:val="es-CO"/>
        </w:rPr>
        <w:t>as entidades del Grupo 2 deben estimar un único FRN para el total de sus depósitos que sea consistente con cada uno de los escenarios.</w:t>
      </w:r>
    </w:p>
    <w:p w14:paraId="2340B97A" w14:textId="77777777" w:rsidR="007E2D19" w:rsidRDefault="007E2D19" w:rsidP="00D557C1">
      <w:pPr>
        <w:pStyle w:val="Normal9pt"/>
        <w:numPr>
          <w:ilvl w:val="0"/>
          <w:numId w:val="0"/>
        </w:numPr>
        <w:rPr>
          <w:rFonts w:ascii="Verdana" w:hAnsi="Verdana"/>
          <w:sz w:val="20"/>
          <w:szCs w:val="20"/>
          <w:lang w:val="es-CO"/>
        </w:rPr>
      </w:pPr>
    </w:p>
    <w:p w14:paraId="05183F7C"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38</w:t>
      </w:r>
      <w:r w:rsidRPr="007C56A4">
        <w:rPr>
          <w:rFonts w:ascii="Verdana" w:hAnsi="Verdana"/>
          <w:spacing w:val="0"/>
          <w:sz w:val="20"/>
          <w:szCs w:val="20"/>
          <w:lang w:val="es-CO"/>
        </w:rPr>
        <w:t>.</w:t>
      </w:r>
    </w:p>
    <w:p w14:paraId="0E483A70" w14:textId="77777777" w:rsidR="007E2D19" w:rsidRPr="00D557C1" w:rsidRDefault="007E2D19" w:rsidP="00D557C1">
      <w:pPr>
        <w:pStyle w:val="Normal9pt"/>
        <w:numPr>
          <w:ilvl w:val="0"/>
          <w:numId w:val="0"/>
        </w:numPr>
        <w:rPr>
          <w:rFonts w:ascii="Verdana" w:hAnsi="Verdana"/>
          <w:sz w:val="20"/>
          <w:szCs w:val="20"/>
          <w:lang w:val="es-CO"/>
        </w:rPr>
      </w:pPr>
      <w:r w:rsidRPr="00D557C1">
        <w:rPr>
          <w:rFonts w:ascii="Verdana" w:hAnsi="Verdana"/>
          <w:sz w:val="20"/>
          <w:szCs w:val="20"/>
          <w:lang w:val="es-CO"/>
        </w:rPr>
        <w:lastRenderedPageBreak/>
        <w:t xml:space="preserve">En todo caso, </w:t>
      </w:r>
      <w:r w:rsidR="00107B98">
        <w:rPr>
          <w:rFonts w:ascii="Verdana" w:hAnsi="Verdana"/>
          <w:sz w:val="20"/>
          <w:szCs w:val="20"/>
          <w:lang w:val="es-CO"/>
        </w:rPr>
        <w:t>lo</w:t>
      </w:r>
      <w:r w:rsidRPr="00D557C1">
        <w:rPr>
          <w:rFonts w:ascii="Verdana" w:hAnsi="Verdana"/>
          <w:sz w:val="20"/>
          <w:szCs w:val="20"/>
          <w:lang w:val="es-CO"/>
        </w:rPr>
        <w:t>s factores de retiros netos no podrán ser inferiores al percentil 5 de la serie histórica de variaciones a 90 días de los saldos de depósitos en cuentas corrientes y de ahorro de la entidad.</w:t>
      </w:r>
    </w:p>
    <w:p w14:paraId="03F68B9F" w14:textId="77777777" w:rsidR="00C2207E" w:rsidRDefault="00C2207E" w:rsidP="00D557C1">
      <w:pPr>
        <w:pStyle w:val="Normal9pt"/>
        <w:numPr>
          <w:ilvl w:val="0"/>
          <w:numId w:val="0"/>
        </w:numPr>
        <w:rPr>
          <w:rFonts w:ascii="Verdana" w:hAnsi="Verdana"/>
          <w:sz w:val="20"/>
          <w:szCs w:val="20"/>
          <w:lang w:val="es-CO"/>
        </w:rPr>
      </w:pPr>
    </w:p>
    <w:p w14:paraId="2456F754"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39</w:t>
      </w:r>
      <w:r w:rsidRPr="007C56A4">
        <w:rPr>
          <w:rFonts w:ascii="Verdana" w:hAnsi="Verdana"/>
          <w:spacing w:val="0"/>
          <w:sz w:val="20"/>
          <w:szCs w:val="20"/>
          <w:lang w:val="es-CO"/>
        </w:rPr>
        <w:t>.</w:t>
      </w:r>
    </w:p>
    <w:p w14:paraId="375B1D92" w14:textId="77777777" w:rsidR="00C2207E" w:rsidRPr="00D557C1" w:rsidRDefault="00C2207E"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Adicionalmente, las entidades deben tener en cuenta que la proyección de los ingresos no contractuales por concepto de captaciones de depósitos en cuentas de ahorros y corrientes, renovaciones y/o nuevas emisiones de </w:t>
      </w:r>
      <w:proofErr w:type="spellStart"/>
      <w:r w:rsidRPr="00D557C1">
        <w:rPr>
          <w:rFonts w:ascii="Verdana" w:hAnsi="Verdana"/>
          <w:sz w:val="20"/>
          <w:szCs w:val="20"/>
          <w:lang w:val="es-CO"/>
        </w:rPr>
        <w:t>CDTs</w:t>
      </w:r>
      <w:proofErr w:type="spellEnd"/>
      <w:r w:rsidRPr="00D557C1">
        <w:rPr>
          <w:rFonts w:ascii="Verdana" w:hAnsi="Verdana"/>
          <w:sz w:val="20"/>
          <w:szCs w:val="20"/>
          <w:lang w:val="es-CO"/>
        </w:rPr>
        <w:t>, bonos o cualquier otro instrumento de deuda, así como los prepagos de cartera o refinanciaciones, debe hacerse en línea con los escenarios suministrados y según lo establecido previamente en su plan de negocio.</w:t>
      </w:r>
    </w:p>
    <w:p w14:paraId="3D8A2B87" w14:textId="77777777" w:rsidR="00C2207E" w:rsidRPr="00D557C1" w:rsidRDefault="00C2207E" w:rsidP="00D557C1">
      <w:pPr>
        <w:pStyle w:val="Normal9pt"/>
        <w:numPr>
          <w:ilvl w:val="0"/>
          <w:numId w:val="0"/>
        </w:numPr>
        <w:rPr>
          <w:rFonts w:ascii="Verdana" w:hAnsi="Verdana"/>
          <w:sz w:val="20"/>
          <w:szCs w:val="20"/>
          <w:lang w:val="es-CO"/>
        </w:rPr>
      </w:pPr>
    </w:p>
    <w:p w14:paraId="78B4AA70" w14:textId="7FD80172" w:rsidR="006C7ACA" w:rsidRPr="00107B98" w:rsidRDefault="006C7ACA" w:rsidP="00B92F3C">
      <w:pPr>
        <w:pStyle w:val="Normal9pt"/>
        <w:numPr>
          <w:ilvl w:val="0"/>
          <w:numId w:val="3"/>
        </w:numPr>
        <w:ind w:left="567" w:hanging="283"/>
        <w:rPr>
          <w:rFonts w:ascii="Verdana" w:hAnsi="Verdana"/>
          <w:b/>
          <w:bCs/>
          <w:sz w:val="20"/>
          <w:szCs w:val="20"/>
          <w:lang w:val="es-CO"/>
        </w:rPr>
      </w:pPr>
      <w:r w:rsidRPr="00107B98">
        <w:rPr>
          <w:rFonts w:ascii="Verdana" w:hAnsi="Verdana"/>
          <w:b/>
          <w:bCs/>
          <w:sz w:val="20"/>
          <w:szCs w:val="20"/>
          <w:lang w:val="es-CO"/>
        </w:rPr>
        <w:t>El valor de los activos líquidos</w:t>
      </w:r>
    </w:p>
    <w:p w14:paraId="45FB8712" w14:textId="77777777" w:rsidR="006C7ACA" w:rsidRDefault="006C7ACA" w:rsidP="00D557C1">
      <w:pPr>
        <w:pStyle w:val="Normal9pt"/>
        <w:numPr>
          <w:ilvl w:val="0"/>
          <w:numId w:val="0"/>
        </w:numPr>
        <w:rPr>
          <w:rFonts w:ascii="Verdana" w:hAnsi="Verdana"/>
          <w:sz w:val="20"/>
          <w:szCs w:val="20"/>
          <w:lang w:val="es-CO"/>
        </w:rPr>
      </w:pPr>
    </w:p>
    <w:p w14:paraId="5D798518"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39</w:t>
      </w:r>
      <w:r w:rsidRPr="007C56A4">
        <w:rPr>
          <w:rFonts w:ascii="Verdana" w:hAnsi="Verdana"/>
          <w:spacing w:val="0"/>
          <w:sz w:val="20"/>
          <w:szCs w:val="20"/>
          <w:lang w:val="es-CO"/>
        </w:rPr>
        <w:t>.</w:t>
      </w:r>
    </w:p>
    <w:p w14:paraId="19F3D578" w14:textId="2CC1098F" w:rsidR="006C7ACA" w:rsidRPr="00D557C1" w:rsidRDefault="006C7ACA"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Las entidades deben estimar el valor de los activos líquidos de alta calidad y de los otros activos líquidos definidos </w:t>
      </w:r>
      <w:r w:rsidRPr="005462B8">
        <w:rPr>
          <w:rFonts w:ascii="Verdana" w:hAnsi="Verdana"/>
          <w:sz w:val="20"/>
          <w:szCs w:val="20"/>
          <w:lang w:val="es-CO"/>
        </w:rPr>
        <w:t xml:space="preserve">en el </w:t>
      </w:r>
      <w:r w:rsidR="005462B8" w:rsidRPr="005462B8">
        <w:rPr>
          <w:rFonts w:ascii="Verdana" w:hAnsi="Verdana"/>
          <w:sz w:val="20"/>
          <w:szCs w:val="20"/>
          <w:lang w:val="es-CO"/>
        </w:rPr>
        <w:t>anexo 9 del capítulo 1 de la parte 1</w:t>
      </w:r>
      <w:r w:rsidRPr="005462B8">
        <w:rPr>
          <w:rFonts w:ascii="Verdana" w:hAnsi="Verdana"/>
          <w:sz w:val="20"/>
          <w:szCs w:val="20"/>
          <w:lang w:val="es-CO"/>
        </w:rPr>
        <w:t xml:space="preserve"> de la CB</w:t>
      </w:r>
      <w:r w:rsidR="00107B98" w:rsidRPr="005462B8">
        <w:rPr>
          <w:rFonts w:ascii="Verdana" w:hAnsi="Verdana"/>
          <w:sz w:val="20"/>
          <w:szCs w:val="20"/>
          <w:lang w:val="es-CO"/>
        </w:rPr>
        <w:t>F</w:t>
      </w:r>
      <w:r w:rsidR="005462B8">
        <w:rPr>
          <w:rFonts w:ascii="Verdana" w:hAnsi="Verdana"/>
          <w:sz w:val="20"/>
          <w:szCs w:val="20"/>
          <w:lang w:val="es-CO"/>
        </w:rPr>
        <w:t>,</w:t>
      </w:r>
      <w:r w:rsidRPr="00D557C1">
        <w:rPr>
          <w:rFonts w:ascii="Verdana" w:hAnsi="Verdana"/>
          <w:sz w:val="20"/>
          <w:szCs w:val="20"/>
        </w:rPr>
        <w:t xml:space="preserve"> </w:t>
      </w:r>
      <w:r w:rsidRPr="00D557C1">
        <w:rPr>
          <w:rFonts w:ascii="Verdana" w:hAnsi="Verdana"/>
          <w:sz w:val="20"/>
          <w:szCs w:val="20"/>
          <w:lang w:val="es-CO"/>
        </w:rPr>
        <w:t xml:space="preserve">al corte del último día calendario de las bandas de tiempo definidas, excluyendo el valor estimado del encaje del cálculo del total </w:t>
      </w:r>
      <w:r w:rsidR="001C0149" w:rsidRPr="00D557C1">
        <w:rPr>
          <w:rFonts w:ascii="Verdana" w:hAnsi="Verdana"/>
          <w:sz w:val="20"/>
          <w:szCs w:val="20"/>
          <w:lang w:val="es-CO"/>
        </w:rPr>
        <w:t>del disponible</w:t>
      </w:r>
      <w:r w:rsidRPr="00D557C1">
        <w:rPr>
          <w:rFonts w:ascii="Verdana" w:hAnsi="Verdana"/>
          <w:sz w:val="20"/>
          <w:szCs w:val="20"/>
          <w:lang w:val="es-CO"/>
        </w:rPr>
        <w:t xml:space="preserve">. La estimación del valor total de los activos líquidos debe ser consistente con el movimiento en las tasas de interés y los </w:t>
      </w:r>
      <w:proofErr w:type="spellStart"/>
      <w:r w:rsidRPr="00D557C1">
        <w:rPr>
          <w:rFonts w:ascii="Verdana" w:hAnsi="Verdana"/>
          <w:i/>
          <w:sz w:val="20"/>
          <w:szCs w:val="20"/>
          <w:lang w:val="es-CO"/>
        </w:rPr>
        <w:t>haircuts</w:t>
      </w:r>
      <w:proofErr w:type="spellEnd"/>
      <w:r w:rsidRPr="00D557C1">
        <w:rPr>
          <w:rFonts w:ascii="Verdana" w:hAnsi="Verdana"/>
          <w:sz w:val="20"/>
          <w:szCs w:val="20"/>
          <w:lang w:val="es-CO"/>
        </w:rPr>
        <w:t xml:space="preserve"> suministrados por la SFC </w:t>
      </w:r>
      <w:r w:rsidR="00720062" w:rsidRPr="00D557C1">
        <w:rPr>
          <w:rFonts w:ascii="Verdana" w:hAnsi="Verdana"/>
          <w:sz w:val="20"/>
          <w:szCs w:val="20"/>
          <w:lang w:val="es-CO"/>
        </w:rPr>
        <w:t>para</w:t>
      </w:r>
      <w:r w:rsidRPr="00D557C1">
        <w:rPr>
          <w:rFonts w:ascii="Verdana" w:hAnsi="Verdana"/>
          <w:sz w:val="20"/>
          <w:szCs w:val="20"/>
          <w:lang w:val="es-CO"/>
        </w:rPr>
        <w:t xml:space="preserve"> cada uno de los escenarios. En consecuencia, el valor del saldo de los activos vigentes al cierre del año a partir del cual se realizan </w:t>
      </w:r>
      <w:r w:rsidR="00C2207E" w:rsidRPr="00D557C1">
        <w:rPr>
          <w:rFonts w:ascii="Verdana" w:hAnsi="Verdana"/>
          <w:sz w:val="20"/>
          <w:szCs w:val="20"/>
          <w:lang w:val="es-CO"/>
        </w:rPr>
        <w:t xml:space="preserve">las </w:t>
      </w:r>
      <w:proofErr w:type="gramStart"/>
      <w:r w:rsidR="00C2207E" w:rsidRPr="00D557C1">
        <w:rPr>
          <w:rFonts w:ascii="Verdana" w:hAnsi="Verdana"/>
          <w:sz w:val="20"/>
          <w:szCs w:val="20"/>
          <w:lang w:val="es-CO"/>
        </w:rPr>
        <w:t>pruebas</w:t>
      </w:r>
      <w:r w:rsidRPr="00D557C1">
        <w:rPr>
          <w:rFonts w:ascii="Verdana" w:hAnsi="Verdana"/>
          <w:sz w:val="20"/>
          <w:szCs w:val="20"/>
          <w:lang w:val="es-CO"/>
        </w:rPr>
        <w:t>,</w:t>
      </w:r>
      <w:proofErr w:type="gramEnd"/>
      <w:r w:rsidRPr="00D557C1">
        <w:rPr>
          <w:rFonts w:ascii="Verdana" w:hAnsi="Verdana"/>
          <w:sz w:val="20"/>
          <w:szCs w:val="20"/>
          <w:lang w:val="es-CO"/>
        </w:rPr>
        <w:t xml:space="preserve"> debe ser afectado con las condiciones establecidas en cada uno de los trimestres del primer año de cada escenario</w:t>
      </w:r>
      <w:r w:rsidR="00D25061" w:rsidRPr="00D557C1">
        <w:rPr>
          <w:rFonts w:ascii="Verdana" w:hAnsi="Verdana"/>
          <w:sz w:val="20"/>
          <w:szCs w:val="20"/>
          <w:lang w:val="es-CO"/>
        </w:rPr>
        <w:t>.</w:t>
      </w:r>
      <w:r w:rsidRPr="00D557C1">
        <w:rPr>
          <w:rFonts w:ascii="Verdana" w:hAnsi="Verdana"/>
          <w:sz w:val="20"/>
          <w:szCs w:val="20"/>
          <w:lang w:val="es-CO"/>
        </w:rPr>
        <w:t xml:space="preserve"> </w:t>
      </w:r>
      <w:r w:rsidR="00D25061" w:rsidRPr="00D557C1">
        <w:rPr>
          <w:rFonts w:ascii="Verdana" w:hAnsi="Verdana"/>
          <w:sz w:val="20"/>
          <w:szCs w:val="20"/>
          <w:lang w:val="es-CO"/>
        </w:rPr>
        <w:t>No deben suponer nuevas coberturas, ventas y/o desmontes de posiciones, reclasificación de inversiones, gestión activa de portafolio, ni ninguna otra acción que mitigue el efecto adverso en la evaluación del impacto de los escenarios suministrados</w:t>
      </w:r>
      <w:r w:rsidR="00C2207E" w:rsidRPr="00D557C1">
        <w:rPr>
          <w:rFonts w:ascii="Verdana" w:hAnsi="Verdana"/>
          <w:sz w:val="20"/>
          <w:szCs w:val="20"/>
          <w:lang w:val="es-CO"/>
        </w:rPr>
        <w:t>.</w:t>
      </w:r>
    </w:p>
    <w:p w14:paraId="3A5117B6" w14:textId="77777777" w:rsidR="006C7ACA" w:rsidRDefault="006C7ACA" w:rsidP="00D557C1">
      <w:pPr>
        <w:pStyle w:val="Normal9pt"/>
        <w:numPr>
          <w:ilvl w:val="0"/>
          <w:numId w:val="0"/>
        </w:numPr>
        <w:rPr>
          <w:rFonts w:ascii="Verdana" w:hAnsi="Verdana"/>
          <w:sz w:val="20"/>
          <w:szCs w:val="20"/>
          <w:lang w:val="es-CO"/>
        </w:rPr>
      </w:pPr>
    </w:p>
    <w:p w14:paraId="54078705" w14:textId="77777777" w:rsidR="00BE3197" w:rsidRPr="00D557C1" w:rsidRDefault="00BE3197" w:rsidP="00D557C1">
      <w:pPr>
        <w:pStyle w:val="Normal9pt"/>
        <w:numPr>
          <w:ilvl w:val="0"/>
          <w:numId w:val="0"/>
        </w:numPr>
        <w:rPr>
          <w:rFonts w:ascii="Verdana" w:hAnsi="Verdana"/>
          <w:b/>
          <w:bCs/>
          <w:sz w:val="20"/>
          <w:szCs w:val="20"/>
          <w:lang w:val="es-CO"/>
        </w:rPr>
      </w:pPr>
      <w:r w:rsidRPr="00D557C1">
        <w:rPr>
          <w:rFonts w:ascii="Verdana" w:hAnsi="Verdana"/>
          <w:b/>
          <w:bCs/>
          <w:sz w:val="20"/>
          <w:szCs w:val="20"/>
          <w:lang w:val="es-CO"/>
        </w:rPr>
        <w:t>INFORME CUALITATIVO</w:t>
      </w:r>
    </w:p>
    <w:p w14:paraId="3FD3A5DB" w14:textId="77777777" w:rsidR="00107B98" w:rsidRDefault="00107B98" w:rsidP="00107B98">
      <w:pPr>
        <w:jc w:val="both"/>
        <w:rPr>
          <w:rFonts w:ascii="Verdana" w:hAnsi="Verdana"/>
          <w:spacing w:val="0"/>
          <w:sz w:val="20"/>
          <w:szCs w:val="20"/>
          <w:lang w:val="es-CO"/>
        </w:rPr>
      </w:pPr>
    </w:p>
    <w:p w14:paraId="358E90A3"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40</w:t>
      </w:r>
      <w:r w:rsidRPr="007C56A4">
        <w:rPr>
          <w:rFonts w:ascii="Verdana" w:hAnsi="Verdana"/>
          <w:spacing w:val="0"/>
          <w:sz w:val="20"/>
          <w:szCs w:val="20"/>
          <w:lang w:val="es-CO"/>
        </w:rPr>
        <w:t>.</w:t>
      </w:r>
    </w:p>
    <w:p w14:paraId="394F7B08"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Además de los resultados cuantitativos de las pruebas, las entidades deben remitir un informe cualitativo. Este documento es complementario de la información contenida en el Formato 527 (Proforma F-1000-138) y debe estar en línea con </w:t>
      </w:r>
      <w:r w:rsidR="00107B98">
        <w:rPr>
          <w:rFonts w:ascii="Verdana" w:hAnsi="Verdana"/>
          <w:sz w:val="20"/>
          <w:szCs w:val="20"/>
          <w:lang w:val="es-CO"/>
        </w:rPr>
        <w:t>é</w:t>
      </w:r>
      <w:r w:rsidRPr="00D557C1">
        <w:rPr>
          <w:rFonts w:ascii="Verdana" w:hAnsi="Verdana"/>
          <w:sz w:val="20"/>
          <w:szCs w:val="20"/>
          <w:lang w:val="es-CO"/>
        </w:rPr>
        <w:t xml:space="preserve">ste, ya que permite entender la forma en que </w:t>
      </w:r>
      <w:r w:rsidR="00107B98">
        <w:rPr>
          <w:rFonts w:ascii="Verdana" w:hAnsi="Verdana"/>
          <w:sz w:val="20"/>
          <w:szCs w:val="20"/>
          <w:lang w:val="es-CO"/>
        </w:rPr>
        <w:t xml:space="preserve">la entidad </w:t>
      </w:r>
      <w:r w:rsidRPr="00D557C1">
        <w:rPr>
          <w:rFonts w:ascii="Verdana" w:hAnsi="Verdana"/>
          <w:sz w:val="20"/>
          <w:szCs w:val="20"/>
          <w:lang w:val="es-CO"/>
        </w:rPr>
        <w:t>desarrolló el ejercicio.</w:t>
      </w:r>
    </w:p>
    <w:p w14:paraId="392FB620" w14:textId="77777777" w:rsidR="00BE3197" w:rsidRDefault="00BE3197" w:rsidP="00D557C1">
      <w:pPr>
        <w:pStyle w:val="Normal9pt"/>
        <w:numPr>
          <w:ilvl w:val="0"/>
          <w:numId w:val="0"/>
        </w:numPr>
        <w:rPr>
          <w:rFonts w:ascii="Verdana" w:hAnsi="Verdana"/>
          <w:sz w:val="20"/>
          <w:szCs w:val="20"/>
          <w:lang w:val="es-CO"/>
        </w:rPr>
      </w:pPr>
    </w:p>
    <w:p w14:paraId="766AC9C1"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41</w:t>
      </w:r>
      <w:r w:rsidRPr="007C56A4">
        <w:rPr>
          <w:rFonts w:ascii="Verdana" w:hAnsi="Verdana"/>
          <w:spacing w:val="0"/>
          <w:sz w:val="20"/>
          <w:szCs w:val="20"/>
          <w:lang w:val="es-CO"/>
        </w:rPr>
        <w:t>.</w:t>
      </w:r>
    </w:p>
    <w:p w14:paraId="79CAF309" w14:textId="77777777" w:rsidR="00BE3197" w:rsidRPr="00D557C1" w:rsidRDefault="00BE3197" w:rsidP="00D557C1">
      <w:pPr>
        <w:pStyle w:val="Normal9pt"/>
        <w:numPr>
          <w:ilvl w:val="0"/>
          <w:numId w:val="0"/>
        </w:numPr>
        <w:rPr>
          <w:rFonts w:ascii="Verdana" w:hAnsi="Verdana"/>
          <w:sz w:val="20"/>
          <w:szCs w:val="20"/>
          <w:lang w:val="es-CO"/>
        </w:rPr>
      </w:pPr>
      <w:r w:rsidRPr="00D557C1">
        <w:rPr>
          <w:rFonts w:ascii="Verdana" w:hAnsi="Verdana"/>
          <w:sz w:val="20"/>
          <w:szCs w:val="20"/>
          <w:lang w:val="es-CO"/>
        </w:rPr>
        <w:t xml:space="preserve">El informe cualitativo (en formato PDF) deberá tener una extensión máxima de 60 hojas (sin incluir anexos) y deberá contener </w:t>
      </w:r>
      <w:r w:rsidR="002B3922" w:rsidRPr="00D557C1">
        <w:rPr>
          <w:rFonts w:ascii="Verdana" w:hAnsi="Verdana"/>
          <w:sz w:val="20"/>
          <w:szCs w:val="20"/>
          <w:lang w:val="es-CO"/>
        </w:rPr>
        <w:t>como mínimo la siguiente estructura:</w:t>
      </w:r>
      <w:r w:rsidRPr="00D557C1">
        <w:rPr>
          <w:rFonts w:ascii="Verdana" w:hAnsi="Verdana"/>
          <w:sz w:val="20"/>
          <w:szCs w:val="20"/>
          <w:lang w:val="es-CO"/>
        </w:rPr>
        <w:t xml:space="preserve"> </w:t>
      </w:r>
    </w:p>
    <w:p w14:paraId="79DA9F45" w14:textId="77777777" w:rsidR="00BE3197" w:rsidRPr="00D557C1" w:rsidRDefault="00BE3197" w:rsidP="00D557C1">
      <w:pPr>
        <w:pStyle w:val="Normal9pt"/>
        <w:numPr>
          <w:ilvl w:val="0"/>
          <w:numId w:val="0"/>
        </w:numPr>
        <w:rPr>
          <w:rFonts w:ascii="Verdana" w:hAnsi="Verdana"/>
          <w:sz w:val="20"/>
          <w:szCs w:val="20"/>
          <w:lang w:val="es-CO"/>
        </w:rPr>
      </w:pPr>
    </w:p>
    <w:p w14:paraId="531D15C6" w14:textId="2BD9C389" w:rsidR="000F1E2A" w:rsidRPr="00D557C1" w:rsidRDefault="002B3922" w:rsidP="00B92F3C">
      <w:pPr>
        <w:pStyle w:val="Normal9pt"/>
        <w:numPr>
          <w:ilvl w:val="0"/>
          <w:numId w:val="8"/>
        </w:numPr>
        <w:ind w:hanging="720"/>
        <w:rPr>
          <w:rFonts w:ascii="Verdana" w:hAnsi="Verdana"/>
          <w:sz w:val="20"/>
          <w:szCs w:val="20"/>
          <w:lang w:val="es-CO"/>
        </w:rPr>
      </w:pPr>
      <w:r w:rsidRPr="00D557C1">
        <w:rPr>
          <w:rFonts w:ascii="Verdana" w:hAnsi="Verdana"/>
          <w:sz w:val="20"/>
          <w:szCs w:val="20"/>
          <w:lang w:val="es-CO"/>
        </w:rPr>
        <w:t xml:space="preserve">Resumen Ejecutivo: Esta sección debe sintetizar los resultados del ejercicio </w:t>
      </w:r>
      <w:r w:rsidR="00343598" w:rsidRPr="00D557C1">
        <w:rPr>
          <w:rFonts w:ascii="Verdana" w:hAnsi="Verdana"/>
          <w:sz w:val="20"/>
          <w:szCs w:val="20"/>
          <w:lang w:val="es-CO"/>
        </w:rPr>
        <w:t xml:space="preserve">por </w:t>
      </w:r>
      <w:r w:rsidR="000F1E2A" w:rsidRPr="00D557C1">
        <w:rPr>
          <w:rFonts w:ascii="Verdana" w:hAnsi="Verdana"/>
          <w:sz w:val="20"/>
          <w:szCs w:val="20"/>
          <w:lang w:val="es-CO"/>
        </w:rPr>
        <w:t xml:space="preserve">escenario </w:t>
      </w:r>
      <w:r w:rsidRPr="00D557C1">
        <w:rPr>
          <w:rFonts w:ascii="Verdana" w:hAnsi="Verdana"/>
          <w:sz w:val="20"/>
          <w:szCs w:val="20"/>
          <w:lang w:val="es-CO"/>
        </w:rPr>
        <w:t>en materia de riesgos de crédito, mercado y liquidez, as</w:t>
      </w:r>
      <w:r w:rsidR="00007115" w:rsidRPr="00D557C1">
        <w:rPr>
          <w:rFonts w:ascii="Verdana" w:hAnsi="Verdana"/>
          <w:sz w:val="20"/>
          <w:szCs w:val="20"/>
          <w:lang w:val="es-CO"/>
        </w:rPr>
        <w:t>í</w:t>
      </w:r>
      <w:r w:rsidRPr="00D557C1">
        <w:rPr>
          <w:rFonts w:ascii="Verdana" w:hAnsi="Verdana"/>
          <w:sz w:val="20"/>
          <w:szCs w:val="20"/>
          <w:lang w:val="es-CO"/>
        </w:rPr>
        <w:t xml:space="preserve"> como los indicadores de solvencia y rentabilidad.</w:t>
      </w:r>
      <w:r w:rsidR="000F1E2A" w:rsidRPr="00D557C1">
        <w:rPr>
          <w:rFonts w:ascii="Verdana" w:hAnsi="Verdana"/>
          <w:sz w:val="20"/>
          <w:szCs w:val="20"/>
          <w:lang w:val="es-CO"/>
        </w:rPr>
        <w:t xml:space="preserve"> </w:t>
      </w:r>
      <w:r w:rsidR="00107B98" w:rsidRPr="00D557C1">
        <w:rPr>
          <w:rFonts w:ascii="Verdana" w:hAnsi="Verdana"/>
          <w:sz w:val="20"/>
          <w:szCs w:val="20"/>
          <w:lang w:val="es-CO"/>
        </w:rPr>
        <w:t>Además,</w:t>
      </w:r>
      <w:r w:rsidR="000F1E2A" w:rsidRPr="00D557C1">
        <w:rPr>
          <w:rFonts w:ascii="Verdana" w:hAnsi="Verdana"/>
          <w:sz w:val="20"/>
          <w:szCs w:val="20"/>
          <w:lang w:val="es-CO"/>
        </w:rPr>
        <w:t xml:space="preserve"> explicar </w:t>
      </w:r>
      <w:r w:rsidRPr="00D557C1">
        <w:rPr>
          <w:rFonts w:ascii="Verdana" w:hAnsi="Verdana"/>
          <w:sz w:val="20"/>
          <w:szCs w:val="20"/>
          <w:lang w:val="es-CO"/>
        </w:rPr>
        <w:t xml:space="preserve">la forma como </w:t>
      </w:r>
      <w:r w:rsidR="000F1E2A" w:rsidRPr="00D557C1">
        <w:rPr>
          <w:rFonts w:ascii="Verdana" w:hAnsi="Verdana"/>
          <w:sz w:val="20"/>
          <w:szCs w:val="20"/>
          <w:lang w:val="es-CO"/>
        </w:rPr>
        <w:t>el</w:t>
      </w:r>
      <w:r w:rsidRPr="00D557C1">
        <w:rPr>
          <w:rFonts w:ascii="Verdana" w:hAnsi="Verdana"/>
          <w:sz w:val="20"/>
          <w:szCs w:val="20"/>
          <w:lang w:val="es-CO"/>
        </w:rPr>
        <w:t xml:space="preserve"> ejercicio </w:t>
      </w:r>
      <w:r w:rsidR="000F1E2A" w:rsidRPr="00D557C1">
        <w:rPr>
          <w:rFonts w:ascii="Verdana" w:hAnsi="Verdana"/>
          <w:sz w:val="20"/>
          <w:szCs w:val="20"/>
          <w:lang w:val="es-CO"/>
        </w:rPr>
        <w:t>fue</w:t>
      </w:r>
      <w:r w:rsidRPr="00D557C1">
        <w:rPr>
          <w:rFonts w:ascii="Verdana" w:hAnsi="Verdana"/>
          <w:sz w:val="20"/>
          <w:szCs w:val="20"/>
          <w:lang w:val="es-CO"/>
        </w:rPr>
        <w:t xml:space="preserve"> incorporado a los procesos internos de gestión de riesgos de la entidad. </w:t>
      </w:r>
      <w:r w:rsidR="000F1E2A" w:rsidRPr="00D557C1">
        <w:rPr>
          <w:rFonts w:ascii="Verdana" w:hAnsi="Verdana"/>
          <w:sz w:val="20"/>
          <w:szCs w:val="20"/>
          <w:lang w:val="es-CO"/>
        </w:rPr>
        <w:t>Finalmente, la entidad debe</w:t>
      </w:r>
      <w:r w:rsidR="00007115" w:rsidRPr="00D557C1">
        <w:rPr>
          <w:rFonts w:ascii="Verdana" w:hAnsi="Verdana"/>
          <w:sz w:val="20"/>
          <w:szCs w:val="20"/>
          <w:lang w:val="es-CO"/>
        </w:rPr>
        <w:t xml:space="preserve"> </w:t>
      </w:r>
      <w:r w:rsidR="000F1E2A" w:rsidRPr="00D557C1">
        <w:rPr>
          <w:rFonts w:ascii="Verdana" w:hAnsi="Verdana"/>
          <w:sz w:val="20"/>
          <w:szCs w:val="20"/>
          <w:lang w:val="es-CO"/>
        </w:rPr>
        <w:t>especificar</w:t>
      </w:r>
      <w:r w:rsidRPr="00D557C1">
        <w:rPr>
          <w:rFonts w:ascii="Verdana" w:hAnsi="Verdana"/>
          <w:sz w:val="20"/>
          <w:szCs w:val="20"/>
          <w:lang w:val="es-CO"/>
        </w:rPr>
        <w:t xml:space="preserve"> </w:t>
      </w:r>
      <w:r w:rsidR="000F1E2A" w:rsidRPr="00D557C1">
        <w:rPr>
          <w:rFonts w:ascii="Verdana" w:hAnsi="Verdana"/>
          <w:sz w:val="20"/>
          <w:szCs w:val="20"/>
          <w:lang w:val="es-CO"/>
        </w:rPr>
        <w:t>si fue necesario estimar un escenario adverso con acciones mitigantes.</w:t>
      </w:r>
    </w:p>
    <w:p w14:paraId="1DD92293" w14:textId="77777777" w:rsidR="000F1E2A" w:rsidRPr="00D557C1" w:rsidRDefault="000F1E2A" w:rsidP="00D557C1">
      <w:pPr>
        <w:pStyle w:val="Normal9pt"/>
        <w:numPr>
          <w:ilvl w:val="0"/>
          <w:numId w:val="0"/>
        </w:numPr>
        <w:rPr>
          <w:rFonts w:ascii="Verdana" w:hAnsi="Verdana"/>
          <w:sz w:val="20"/>
          <w:szCs w:val="20"/>
          <w:lang w:val="es-CO"/>
        </w:rPr>
      </w:pPr>
    </w:p>
    <w:p w14:paraId="2E102C7B" w14:textId="24AAA8A2" w:rsidR="002B3922" w:rsidRPr="00D557C1" w:rsidRDefault="002B3922" w:rsidP="00B92F3C">
      <w:pPr>
        <w:pStyle w:val="Normal9pt"/>
        <w:numPr>
          <w:ilvl w:val="0"/>
          <w:numId w:val="8"/>
        </w:numPr>
        <w:ind w:left="567" w:hanging="567"/>
        <w:rPr>
          <w:rFonts w:ascii="Verdana" w:hAnsi="Verdana"/>
          <w:sz w:val="20"/>
          <w:szCs w:val="20"/>
          <w:lang w:val="es-CO"/>
        </w:rPr>
      </w:pPr>
      <w:r w:rsidRPr="00D557C1">
        <w:rPr>
          <w:rFonts w:ascii="Verdana" w:hAnsi="Verdana"/>
          <w:sz w:val="20"/>
          <w:szCs w:val="20"/>
          <w:lang w:val="es-CO"/>
        </w:rPr>
        <w:t>Integración del EPR a los procesos internos de la entidad:</w:t>
      </w:r>
      <w:r w:rsidR="000F1E2A" w:rsidRPr="00D557C1">
        <w:rPr>
          <w:rFonts w:ascii="Verdana" w:hAnsi="Verdana"/>
          <w:sz w:val="20"/>
          <w:szCs w:val="20"/>
          <w:lang w:val="es-CO"/>
        </w:rPr>
        <w:t xml:space="preserve"> </w:t>
      </w:r>
      <w:r w:rsidRPr="00D557C1">
        <w:rPr>
          <w:rFonts w:ascii="Verdana" w:hAnsi="Verdana"/>
          <w:sz w:val="20"/>
          <w:szCs w:val="20"/>
          <w:lang w:val="es-CO"/>
        </w:rPr>
        <w:t>Especificar las áreas que participaron en la definición de los supuestos</w:t>
      </w:r>
      <w:r w:rsidR="00343598" w:rsidRPr="00D557C1">
        <w:rPr>
          <w:rFonts w:ascii="Verdana" w:hAnsi="Verdana"/>
          <w:sz w:val="20"/>
          <w:szCs w:val="20"/>
          <w:lang w:val="es-CO"/>
        </w:rPr>
        <w:t>, ejecución y aprobación del ejercicio</w:t>
      </w:r>
      <w:r w:rsidRPr="00D557C1">
        <w:rPr>
          <w:rFonts w:ascii="Verdana" w:hAnsi="Verdana"/>
          <w:sz w:val="20"/>
          <w:szCs w:val="20"/>
          <w:lang w:val="es-CO"/>
        </w:rPr>
        <w:t>.</w:t>
      </w:r>
      <w:r w:rsidR="00B726C7" w:rsidRPr="00D557C1">
        <w:rPr>
          <w:rFonts w:ascii="Verdana" w:hAnsi="Verdana"/>
          <w:sz w:val="20"/>
          <w:szCs w:val="20"/>
          <w:lang w:val="es-CO"/>
        </w:rPr>
        <w:t xml:space="preserve"> Informar sobre el concepto del área que realizó la validación de los modelos.</w:t>
      </w:r>
      <w:r w:rsidR="00343598" w:rsidRPr="00D557C1">
        <w:rPr>
          <w:rFonts w:ascii="Verdana" w:hAnsi="Verdana"/>
          <w:sz w:val="20"/>
          <w:szCs w:val="20"/>
          <w:lang w:val="es-CO"/>
        </w:rPr>
        <w:t xml:space="preserve"> </w:t>
      </w:r>
      <w:r w:rsidRPr="00D557C1">
        <w:rPr>
          <w:rFonts w:ascii="Verdana" w:hAnsi="Verdana"/>
          <w:sz w:val="20"/>
          <w:szCs w:val="20"/>
          <w:lang w:val="es-CO"/>
        </w:rPr>
        <w:t>Indicar el grado de participación de la junta directiva y la alta gerencia dentro del ejercicio.</w:t>
      </w:r>
      <w:r w:rsidR="000F1E2A" w:rsidRPr="00D557C1">
        <w:rPr>
          <w:rFonts w:ascii="Verdana" w:hAnsi="Verdana"/>
          <w:sz w:val="20"/>
          <w:szCs w:val="20"/>
          <w:lang w:val="es-CO"/>
        </w:rPr>
        <w:t xml:space="preserve"> En el caso </w:t>
      </w:r>
      <w:r w:rsidR="00595B0A" w:rsidRPr="00D557C1">
        <w:rPr>
          <w:rFonts w:ascii="Verdana" w:hAnsi="Verdana"/>
          <w:sz w:val="20"/>
          <w:szCs w:val="20"/>
          <w:lang w:val="es-CO"/>
        </w:rPr>
        <w:t>de</w:t>
      </w:r>
      <w:r w:rsidR="000F1E2A" w:rsidRPr="00D557C1">
        <w:rPr>
          <w:rFonts w:ascii="Verdana" w:hAnsi="Verdana"/>
          <w:sz w:val="20"/>
          <w:szCs w:val="20"/>
          <w:lang w:val="es-CO"/>
        </w:rPr>
        <w:t xml:space="preserve"> que las pruebas se hayan realizado por parte de un consultor externo se deberá especificar su rol en el ejercicio.  </w:t>
      </w:r>
    </w:p>
    <w:p w14:paraId="3D8744AC" w14:textId="77777777" w:rsidR="002B3922" w:rsidRPr="00D557C1" w:rsidRDefault="002B3922" w:rsidP="00D557C1">
      <w:pPr>
        <w:pStyle w:val="Normal9pt"/>
        <w:numPr>
          <w:ilvl w:val="0"/>
          <w:numId w:val="0"/>
        </w:numPr>
        <w:rPr>
          <w:rFonts w:ascii="Verdana" w:hAnsi="Verdana"/>
          <w:sz w:val="20"/>
          <w:szCs w:val="20"/>
          <w:lang w:val="es-CO"/>
        </w:rPr>
      </w:pPr>
    </w:p>
    <w:p w14:paraId="09625A19" w14:textId="77777777" w:rsidR="000F1E2A" w:rsidRPr="00D557C1" w:rsidRDefault="002B3922" w:rsidP="00B92F3C">
      <w:pPr>
        <w:pStyle w:val="Normal9pt"/>
        <w:numPr>
          <w:ilvl w:val="0"/>
          <w:numId w:val="8"/>
        </w:numPr>
        <w:ind w:left="567" w:hanging="567"/>
        <w:rPr>
          <w:rFonts w:ascii="Verdana" w:hAnsi="Verdana"/>
          <w:sz w:val="20"/>
          <w:szCs w:val="20"/>
          <w:lang w:val="es-CO"/>
        </w:rPr>
      </w:pPr>
      <w:r w:rsidRPr="00D557C1">
        <w:rPr>
          <w:rFonts w:ascii="Verdana" w:hAnsi="Verdana"/>
          <w:sz w:val="20"/>
          <w:szCs w:val="20"/>
          <w:lang w:val="es-CO"/>
        </w:rPr>
        <w:t>Plan de Negocio: Indicar los elementos del plan de negocio que fueron incorporados dentro de las proyecciones</w:t>
      </w:r>
      <w:r w:rsidR="000F1E2A" w:rsidRPr="00D557C1">
        <w:rPr>
          <w:rFonts w:ascii="Verdana" w:hAnsi="Verdana"/>
          <w:sz w:val="20"/>
          <w:szCs w:val="20"/>
          <w:lang w:val="es-CO"/>
        </w:rPr>
        <w:t xml:space="preserve"> y la forma como su inclusión mitiga el efecto de los escenarios suministrados. Por ejemplo, si</w:t>
      </w:r>
      <w:r w:rsidRPr="00D557C1">
        <w:rPr>
          <w:rFonts w:ascii="Verdana" w:hAnsi="Verdana"/>
          <w:sz w:val="20"/>
          <w:szCs w:val="20"/>
          <w:lang w:val="es-CO"/>
        </w:rPr>
        <w:t xml:space="preserve"> el plan de negocio contempl</w:t>
      </w:r>
      <w:r w:rsidR="000F1E2A" w:rsidRPr="00D557C1">
        <w:rPr>
          <w:rFonts w:ascii="Verdana" w:hAnsi="Verdana"/>
          <w:sz w:val="20"/>
          <w:szCs w:val="20"/>
          <w:lang w:val="es-CO"/>
        </w:rPr>
        <w:t>a</w:t>
      </w:r>
      <w:r w:rsidRPr="00D557C1">
        <w:rPr>
          <w:rFonts w:ascii="Verdana" w:hAnsi="Verdana"/>
          <w:sz w:val="20"/>
          <w:szCs w:val="20"/>
          <w:lang w:val="es-CO"/>
        </w:rPr>
        <w:t xml:space="preserve"> emisiones de bonos o acciones,</w:t>
      </w:r>
      <w:r w:rsidR="000F1E2A" w:rsidRPr="00D557C1">
        <w:rPr>
          <w:rFonts w:ascii="Verdana" w:hAnsi="Verdana"/>
          <w:sz w:val="20"/>
          <w:szCs w:val="20"/>
          <w:lang w:val="es-CO"/>
        </w:rPr>
        <w:t xml:space="preserve"> se deben</w:t>
      </w:r>
      <w:r w:rsidRPr="00D557C1">
        <w:rPr>
          <w:rFonts w:ascii="Verdana" w:hAnsi="Verdana"/>
          <w:sz w:val="20"/>
          <w:szCs w:val="20"/>
          <w:lang w:val="es-CO"/>
        </w:rPr>
        <w:t xml:space="preserve"> especificar los detalles de dichas emisiones</w:t>
      </w:r>
      <w:r w:rsidR="000F1E2A" w:rsidRPr="00D557C1">
        <w:rPr>
          <w:rFonts w:ascii="Verdana" w:hAnsi="Verdana"/>
          <w:sz w:val="20"/>
          <w:szCs w:val="20"/>
          <w:lang w:val="es-CO"/>
        </w:rPr>
        <w:t>.</w:t>
      </w:r>
    </w:p>
    <w:p w14:paraId="1D271BDE" w14:textId="77777777" w:rsidR="000F1E2A" w:rsidRPr="00D557C1" w:rsidRDefault="000F1E2A" w:rsidP="00D557C1">
      <w:pPr>
        <w:pStyle w:val="Normal9pt"/>
        <w:numPr>
          <w:ilvl w:val="0"/>
          <w:numId w:val="0"/>
        </w:numPr>
        <w:rPr>
          <w:rFonts w:ascii="Verdana" w:hAnsi="Verdana"/>
          <w:sz w:val="20"/>
          <w:szCs w:val="20"/>
          <w:lang w:val="es-CO"/>
        </w:rPr>
      </w:pPr>
    </w:p>
    <w:p w14:paraId="0064E2A1" w14:textId="77777777" w:rsidR="00007115" w:rsidRPr="00D557C1" w:rsidRDefault="002B3922" w:rsidP="00B92F3C">
      <w:pPr>
        <w:pStyle w:val="Normal9pt"/>
        <w:numPr>
          <w:ilvl w:val="0"/>
          <w:numId w:val="8"/>
        </w:numPr>
        <w:ind w:left="567" w:hanging="567"/>
        <w:rPr>
          <w:rFonts w:ascii="Verdana" w:hAnsi="Verdana"/>
          <w:sz w:val="20"/>
          <w:szCs w:val="20"/>
          <w:lang w:val="es-CO"/>
        </w:rPr>
      </w:pPr>
      <w:r w:rsidRPr="00D557C1">
        <w:rPr>
          <w:rFonts w:ascii="Verdana" w:hAnsi="Verdana"/>
          <w:sz w:val="20"/>
          <w:szCs w:val="20"/>
          <w:lang w:val="es-CO"/>
        </w:rPr>
        <w:t>Supuestos, Metodología de Proyección y Resultados:</w:t>
      </w:r>
      <w:r w:rsidR="000F1E2A" w:rsidRPr="00D557C1">
        <w:rPr>
          <w:rFonts w:ascii="Verdana" w:hAnsi="Verdana"/>
          <w:sz w:val="20"/>
          <w:szCs w:val="20"/>
          <w:lang w:val="es-CO"/>
        </w:rPr>
        <w:t xml:space="preserve"> </w:t>
      </w:r>
    </w:p>
    <w:p w14:paraId="3956D8D6" w14:textId="77777777" w:rsidR="00007115" w:rsidRPr="00D557C1" w:rsidRDefault="00007115" w:rsidP="00D557C1">
      <w:pPr>
        <w:pStyle w:val="Normal9pt"/>
        <w:numPr>
          <w:ilvl w:val="0"/>
          <w:numId w:val="0"/>
        </w:numPr>
        <w:rPr>
          <w:rFonts w:ascii="Verdana" w:hAnsi="Verdana"/>
          <w:sz w:val="20"/>
          <w:szCs w:val="20"/>
          <w:lang w:val="es-CO"/>
        </w:rPr>
      </w:pPr>
    </w:p>
    <w:p w14:paraId="53C952DF" w14:textId="77777777" w:rsidR="000F1E2A" w:rsidRPr="00D557C1" w:rsidRDefault="000F1E2A" w:rsidP="00B92F3C">
      <w:pPr>
        <w:pStyle w:val="Normal9pt"/>
        <w:numPr>
          <w:ilvl w:val="0"/>
          <w:numId w:val="9"/>
        </w:numPr>
        <w:rPr>
          <w:rFonts w:ascii="Verdana" w:hAnsi="Verdana"/>
          <w:sz w:val="20"/>
          <w:szCs w:val="20"/>
          <w:lang w:val="es-CO"/>
        </w:rPr>
      </w:pPr>
      <w:r w:rsidRPr="00D557C1">
        <w:rPr>
          <w:rFonts w:ascii="Verdana" w:hAnsi="Verdana"/>
          <w:sz w:val="20"/>
          <w:szCs w:val="20"/>
          <w:lang w:val="es-CO"/>
        </w:rPr>
        <w:lastRenderedPageBreak/>
        <w:t>Esquematizar la presentación en cinco secciones: riesgo de crédito, riesgo de mercado, riesgo de liquidez, rentabilidad y solvencia. En todos los casos indicar la ventana de tiempo utilizada y periodicidad de la información, explicar los supuestos incorporados para las proyecciones, detallar la metodología empleada y exponer la posible sensibilidad de los resultados ante cambios o alteraciones de dichos supuestos.</w:t>
      </w:r>
    </w:p>
    <w:p w14:paraId="6D7D2806" w14:textId="77777777" w:rsidR="002B3922" w:rsidRPr="00D557C1" w:rsidRDefault="002B3922" w:rsidP="00D557C1">
      <w:pPr>
        <w:pStyle w:val="Normal9pt"/>
        <w:numPr>
          <w:ilvl w:val="0"/>
          <w:numId w:val="0"/>
        </w:numPr>
        <w:rPr>
          <w:rFonts w:ascii="Verdana" w:hAnsi="Verdana"/>
          <w:sz w:val="20"/>
          <w:szCs w:val="20"/>
          <w:lang w:val="es-CO"/>
        </w:rPr>
      </w:pPr>
    </w:p>
    <w:p w14:paraId="75756769" w14:textId="77777777" w:rsidR="002B3922" w:rsidRPr="00D557C1" w:rsidRDefault="00007115" w:rsidP="00B92F3C">
      <w:pPr>
        <w:pStyle w:val="Normal9pt"/>
        <w:numPr>
          <w:ilvl w:val="0"/>
          <w:numId w:val="9"/>
        </w:numPr>
        <w:rPr>
          <w:rFonts w:ascii="Verdana" w:hAnsi="Verdana"/>
          <w:sz w:val="20"/>
          <w:szCs w:val="20"/>
          <w:lang w:val="es-CO"/>
        </w:rPr>
      </w:pPr>
      <w:r w:rsidRPr="00D557C1">
        <w:rPr>
          <w:rFonts w:ascii="Verdana" w:hAnsi="Verdana"/>
          <w:sz w:val="20"/>
          <w:szCs w:val="20"/>
          <w:lang w:val="es-CO"/>
        </w:rPr>
        <w:t>Describir por qué se espera un comportamiento estable para alguna de las variables a proyectar en los diferentes escenarios, s</w:t>
      </w:r>
      <w:r w:rsidR="002B3922" w:rsidRPr="00D557C1">
        <w:rPr>
          <w:rFonts w:ascii="Verdana" w:hAnsi="Verdana"/>
          <w:sz w:val="20"/>
          <w:szCs w:val="20"/>
          <w:lang w:val="es-CO"/>
        </w:rPr>
        <w:t>i dentro de los supuestos se asume</w:t>
      </w:r>
      <w:r w:rsidRPr="00D557C1">
        <w:rPr>
          <w:rFonts w:ascii="Verdana" w:hAnsi="Verdana"/>
          <w:sz w:val="20"/>
          <w:szCs w:val="20"/>
          <w:lang w:val="es-CO"/>
        </w:rPr>
        <w:t xml:space="preserve"> dicha relación</w:t>
      </w:r>
      <w:r w:rsidR="002B3922" w:rsidRPr="00D557C1">
        <w:rPr>
          <w:rFonts w:ascii="Verdana" w:hAnsi="Verdana"/>
          <w:sz w:val="20"/>
          <w:szCs w:val="20"/>
          <w:lang w:val="es-CO"/>
        </w:rPr>
        <w:t>.</w:t>
      </w:r>
    </w:p>
    <w:p w14:paraId="340D2374" w14:textId="77777777" w:rsidR="00007115" w:rsidRPr="00D557C1" w:rsidRDefault="00007115" w:rsidP="00D557C1">
      <w:pPr>
        <w:pStyle w:val="Normal9pt"/>
        <w:numPr>
          <w:ilvl w:val="0"/>
          <w:numId w:val="0"/>
        </w:numPr>
        <w:rPr>
          <w:rFonts w:ascii="Verdana" w:hAnsi="Verdana"/>
          <w:sz w:val="20"/>
          <w:szCs w:val="20"/>
          <w:lang w:val="es-CO"/>
        </w:rPr>
      </w:pPr>
    </w:p>
    <w:p w14:paraId="7715D9CD" w14:textId="77777777" w:rsidR="002B3922" w:rsidRPr="00D557C1" w:rsidRDefault="000F1E2A" w:rsidP="00B92F3C">
      <w:pPr>
        <w:pStyle w:val="Normal9pt"/>
        <w:numPr>
          <w:ilvl w:val="0"/>
          <w:numId w:val="9"/>
        </w:numPr>
        <w:rPr>
          <w:rFonts w:ascii="Verdana" w:hAnsi="Verdana"/>
          <w:sz w:val="20"/>
          <w:szCs w:val="20"/>
          <w:lang w:val="es-CO"/>
        </w:rPr>
      </w:pPr>
      <w:r w:rsidRPr="00D557C1">
        <w:rPr>
          <w:rFonts w:ascii="Verdana" w:hAnsi="Verdana"/>
          <w:sz w:val="20"/>
          <w:szCs w:val="20"/>
          <w:lang w:val="es-CO"/>
        </w:rPr>
        <w:t xml:space="preserve">Justificar la selección de los modelos, mencionando la forma como se integraron las particularidades de sus actividades significativas y su plan de negocio. </w:t>
      </w:r>
      <w:r w:rsidR="002B3922" w:rsidRPr="00D557C1">
        <w:rPr>
          <w:rFonts w:ascii="Verdana" w:hAnsi="Verdana"/>
          <w:sz w:val="20"/>
          <w:szCs w:val="20"/>
          <w:lang w:val="es-CO"/>
        </w:rPr>
        <w:t>Especificar en qué casos la estimac</w:t>
      </w:r>
      <w:r w:rsidR="00302C37" w:rsidRPr="00D557C1">
        <w:rPr>
          <w:rFonts w:ascii="Verdana" w:hAnsi="Verdana"/>
          <w:sz w:val="20"/>
          <w:szCs w:val="20"/>
          <w:lang w:val="es-CO"/>
        </w:rPr>
        <w:t>ión incorporó el juicio experto</w:t>
      </w:r>
      <w:r w:rsidR="002B3922" w:rsidRPr="00D557C1">
        <w:rPr>
          <w:rFonts w:ascii="Verdana" w:hAnsi="Verdana"/>
          <w:sz w:val="20"/>
          <w:szCs w:val="20"/>
          <w:lang w:val="es-CO"/>
        </w:rPr>
        <w:t xml:space="preserve"> </w:t>
      </w:r>
      <w:r w:rsidRPr="00D557C1">
        <w:rPr>
          <w:rFonts w:ascii="Verdana" w:hAnsi="Verdana"/>
          <w:sz w:val="20"/>
          <w:szCs w:val="20"/>
          <w:lang w:val="es-CO"/>
        </w:rPr>
        <w:t>y</w:t>
      </w:r>
      <w:r w:rsidR="002B3922" w:rsidRPr="00D557C1">
        <w:rPr>
          <w:rFonts w:ascii="Verdana" w:hAnsi="Verdana"/>
          <w:sz w:val="20"/>
          <w:szCs w:val="20"/>
          <w:lang w:val="es-CO"/>
        </w:rPr>
        <w:t xml:space="preserve"> establecer</w:t>
      </w:r>
      <w:r w:rsidRPr="00D557C1">
        <w:rPr>
          <w:rFonts w:ascii="Verdana" w:hAnsi="Verdana"/>
          <w:sz w:val="20"/>
          <w:szCs w:val="20"/>
          <w:lang w:val="es-CO"/>
        </w:rPr>
        <w:t xml:space="preserve"> su</w:t>
      </w:r>
      <w:r w:rsidR="002B3922" w:rsidRPr="00D557C1">
        <w:rPr>
          <w:rFonts w:ascii="Verdana" w:hAnsi="Verdana"/>
          <w:sz w:val="20"/>
          <w:szCs w:val="20"/>
          <w:lang w:val="es-CO"/>
        </w:rPr>
        <w:t xml:space="preserve"> impacto sobre los resultados presentados.</w:t>
      </w:r>
    </w:p>
    <w:p w14:paraId="1C518450" w14:textId="77777777" w:rsidR="000F1E2A" w:rsidRPr="00D557C1" w:rsidRDefault="000F1E2A" w:rsidP="00D557C1">
      <w:pPr>
        <w:pStyle w:val="Normal9pt"/>
        <w:numPr>
          <w:ilvl w:val="0"/>
          <w:numId w:val="0"/>
        </w:numPr>
        <w:rPr>
          <w:rFonts w:ascii="Verdana" w:hAnsi="Verdana"/>
          <w:sz w:val="20"/>
          <w:szCs w:val="20"/>
          <w:lang w:val="es-CO"/>
        </w:rPr>
      </w:pPr>
    </w:p>
    <w:p w14:paraId="7E4DA7D5" w14:textId="77777777" w:rsidR="002B3922" w:rsidRPr="00D557C1" w:rsidRDefault="002B3922" w:rsidP="00B92F3C">
      <w:pPr>
        <w:pStyle w:val="Normal9pt"/>
        <w:numPr>
          <w:ilvl w:val="0"/>
          <w:numId w:val="9"/>
        </w:numPr>
        <w:rPr>
          <w:rFonts w:ascii="Verdana" w:hAnsi="Verdana"/>
          <w:sz w:val="20"/>
          <w:szCs w:val="20"/>
          <w:lang w:val="es-CO"/>
        </w:rPr>
      </w:pPr>
      <w:r w:rsidRPr="00D557C1">
        <w:rPr>
          <w:rFonts w:ascii="Verdana" w:hAnsi="Verdana"/>
          <w:sz w:val="20"/>
          <w:szCs w:val="20"/>
          <w:lang w:val="es-CO"/>
        </w:rPr>
        <w:t xml:space="preserve">Indicar en qué casos utilizaron variables adicionales a las suministradas para desarrollar el ejercicio y listarlas. </w:t>
      </w:r>
    </w:p>
    <w:p w14:paraId="042C8E1E" w14:textId="77777777" w:rsidR="000F1E2A" w:rsidRPr="00D557C1" w:rsidRDefault="000F1E2A" w:rsidP="00D557C1">
      <w:pPr>
        <w:pStyle w:val="Normal9pt"/>
        <w:numPr>
          <w:ilvl w:val="0"/>
          <w:numId w:val="0"/>
        </w:numPr>
        <w:rPr>
          <w:rFonts w:ascii="Verdana" w:hAnsi="Verdana"/>
          <w:sz w:val="20"/>
          <w:szCs w:val="20"/>
          <w:lang w:val="es-CO"/>
        </w:rPr>
      </w:pPr>
    </w:p>
    <w:p w14:paraId="3C54D291" w14:textId="77777777" w:rsidR="002B3922" w:rsidRPr="00D557C1" w:rsidRDefault="002B3922" w:rsidP="00B92F3C">
      <w:pPr>
        <w:pStyle w:val="Normal9pt"/>
        <w:numPr>
          <w:ilvl w:val="0"/>
          <w:numId w:val="9"/>
        </w:numPr>
        <w:rPr>
          <w:rFonts w:ascii="Verdana" w:hAnsi="Verdana"/>
          <w:sz w:val="20"/>
          <w:szCs w:val="20"/>
          <w:lang w:val="es-CO"/>
        </w:rPr>
      </w:pPr>
      <w:r w:rsidRPr="00D557C1">
        <w:rPr>
          <w:rFonts w:ascii="Verdana" w:hAnsi="Verdana"/>
          <w:sz w:val="20"/>
          <w:szCs w:val="20"/>
          <w:lang w:val="es-CO"/>
        </w:rPr>
        <w:t>La justificación de los resultados debe presentarse para cada escenario (base y adverso), en cada uno de los horizontes de proyección señalados. También se deben describir los efectos específicos del cierre y/o la contracción de líneas de crédito o redescuento, así como del posible incumplimiento de contrapartes significativas en sus balances.</w:t>
      </w:r>
    </w:p>
    <w:p w14:paraId="1D1ECAF6" w14:textId="77777777" w:rsidR="000F1E2A" w:rsidRPr="00D557C1" w:rsidRDefault="000F1E2A" w:rsidP="00D557C1">
      <w:pPr>
        <w:pStyle w:val="Normal9pt"/>
        <w:numPr>
          <w:ilvl w:val="0"/>
          <w:numId w:val="0"/>
        </w:numPr>
        <w:rPr>
          <w:rFonts w:ascii="Verdana" w:hAnsi="Verdana"/>
          <w:sz w:val="20"/>
          <w:szCs w:val="20"/>
          <w:lang w:val="es-CO"/>
        </w:rPr>
      </w:pPr>
    </w:p>
    <w:p w14:paraId="415D0161" w14:textId="77777777" w:rsidR="000F1E2A" w:rsidRPr="00D557C1" w:rsidRDefault="000F1E2A" w:rsidP="00B92F3C">
      <w:pPr>
        <w:pStyle w:val="Normal9pt"/>
        <w:numPr>
          <w:ilvl w:val="0"/>
          <w:numId w:val="9"/>
        </w:numPr>
        <w:rPr>
          <w:rFonts w:ascii="Verdana" w:hAnsi="Verdana"/>
          <w:sz w:val="20"/>
          <w:szCs w:val="20"/>
          <w:lang w:val="es-CO"/>
        </w:rPr>
      </w:pPr>
      <w:r w:rsidRPr="00D557C1">
        <w:rPr>
          <w:rFonts w:ascii="Verdana" w:hAnsi="Verdana"/>
          <w:sz w:val="20"/>
          <w:szCs w:val="20"/>
          <w:lang w:val="es-CO"/>
        </w:rPr>
        <w:t>Las entidades del Grupo 2 deben detallar el procedimiento empleado para identificar el grupo de activos significativo.</w:t>
      </w:r>
    </w:p>
    <w:p w14:paraId="280AC10E" w14:textId="77777777" w:rsidR="002B3922" w:rsidRPr="00D557C1" w:rsidRDefault="002B3922" w:rsidP="00D557C1">
      <w:pPr>
        <w:pStyle w:val="Normal9pt"/>
        <w:numPr>
          <w:ilvl w:val="0"/>
          <w:numId w:val="0"/>
        </w:numPr>
        <w:rPr>
          <w:rFonts w:ascii="Verdana" w:hAnsi="Verdana"/>
          <w:sz w:val="20"/>
          <w:szCs w:val="20"/>
          <w:lang w:val="es-CO"/>
        </w:rPr>
      </w:pPr>
    </w:p>
    <w:p w14:paraId="3F9CEF42" w14:textId="77777777" w:rsidR="002B3922" w:rsidRPr="00D557C1" w:rsidRDefault="002B3922" w:rsidP="00B92F3C">
      <w:pPr>
        <w:pStyle w:val="Normal9pt"/>
        <w:numPr>
          <w:ilvl w:val="0"/>
          <w:numId w:val="8"/>
        </w:numPr>
        <w:ind w:left="567" w:hanging="567"/>
        <w:rPr>
          <w:rFonts w:ascii="Verdana" w:hAnsi="Verdana"/>
          <w:sz w:val="20"/>
          <w:szCs w:val="20"/>
          <w:lang w:val="es-CO"/>
        </w:rPr>
      </w:pPr>
      <w:r w:rsidRPr="00D557C1">
        <w:rPr>
          <w:rFonts w:ascii="Verdana" w:hAnsi="Verdana"/>
          <w:sz w:val="20"/>
          <w:szCs w:val="20"/>
          <w:lang w:val="es-CO"/>
        </w:rPr>
        <w:t>Acciones mitigantes</w:t>
      </w:r>
      <w:r w:rsidR="00A14FD4" w:rsidRPr="00D557C1">
        <w:rPr>
          <w:rFonts w:ascii="Verdana" w:hAnsi="Verdana"/>
          <w:sz w:val="20"/>
          <w:szCs w:val="20"/>
          <w:lang w:val="es-CO"/>
        </w:rPr>
        <w:t>:</w:t>
      </w:r>
      <w:r w:rsidR="000F1E2A" w:rsidRPr="00D557C1">
        <w:rPr>
          <w:rFonts w:ascii="Verdana" w:hAnsi="Verdana"/>
          <w:sz w:val="20"/>
          <w:szCs w:val="20"/>
          <w:lang w:val="es-CO"/>
        </w:rPr>
        <w:t xml:space="preserve"> En el caso </w:t>
      </w:r>
      <w:r w:rsidRPr="00D557C1">
        <w:rPr>
          <w:rFonts w:ascii="Verdana" w:hAnsi="Verdana"/>
          <w:sz w:val="20"/>
          <w:szCs w:val="20"/>
          <w:lang w:val="es-CO"/>
        </w:rPr>
        <w:t xml:space="preserve">en el que las entidades realicen una tercera proyección </w:t>
      </w:r>
      <w:r w:rsidR="000F1E2A" w:rsidRPr="00D557C1">
        <w:rPr>
          <w:rFonts w:ascii="Verdana" w:hAnsi="Verdana"/>
          <w:sz w:val="20"/>
          <w:szCs w:val="20"/>
          <w:lang w:val="es-CO"/>
        </w:rPr>
        <w:t xml:space="preserve">(escenario adverso proyectado con acciones mitigantes) </w:t>
      </w:r>
      <w:r w:rsidRPr="00D557C1">
        <w:rPr>
          <w:rFonts w:ascii="Verdana" w:hAnsi="Verdana"/>
          <w:sz w:val="20"/>
          <w:szCs w:val="20"/>
          <w:lang w:val="es-CO"/>
        </w:rPr>
        <w:t xml:space="preserve">deben cuantificar el impacto </w:t>
      </w:r>
      <w:r w:rsidR="00007115" w:rsidRPr="00D557C1">
        <w:rPr>
          <w:rFonts w:ascii="Verdana" w:hAnsi="Verdana"/>
          <w:sz w:val="20"/>
          <w:szCs w:val="20"/>
          <w:lang w:val="es-CO"/>
        </w:rPr>
        <w:t xml:space="preserve">del conjunto </w:t>
      </w:r>
      <w:r w:rsidRPr="00D557C1">
        <w:rPr>
          <w:rFonts w:ascii="Verdana" w:hAnsi="Verdana"/>
          <w:sz w:val="20"/>
          <w:szCs w:val="20"/>
          <w:lang w:val="es-CO"/>
        </w:rPr>
        <w:t>de las acciones propuestas y explicar los condicionantes (“</w:t>
      </w:r>
      <w:proofErr w:type="spellStart"/>
      <w:r w:rsidRPr="00D557C1">
        <w:rPr>
          <w:rFonts w:ascii="Verdana" w:hAnsi="Verdana"/>
          <w:sz w:val="20"/>
          <w:szCs w:val="20"/>
          <w:lang w:val="es-CO"/>
        </w:rPr>
        <w:t>triggers</w:t>
      </w:r>
      <w:proofErr w:type="spellEnd"/>
      <w:r w:rsidRPr="00D557C1">
        <w:rPr>
          <w:rFonts w:ascii="Verdana" w:hAnsi="Verdana"/>
          <w:sz w:val="20"/>
          <w:szCs w:val="20"/>
          <w:lang w:val="es-CO"/>
        </w:rPr>
        <w:t>”) que dispararían la implementación de cada una de las acciones planteadas evidenciando la factibilidad de su adopción.</w:t>
      </w:r>
    </w:p>
    <w:p w14:paraId="02938129" w14:textId="77777777" w:rsidR="000F1E2A" w:rsidRPr="00D557C1" w:rsidRDefault="000F1E2A" w:rsidP="00D557C1">
      <w:pPr>
        <w:pStyle w:val="Normal9pt"/>
        <w:numPr>
          <w:ilvl w:val="0"/>
          <w:numId w:val="0"/>
        </w:numPr>
        <w:rPr>
          <w:rFonts w:ascii="Verdana" w:hAnsi="Verdana"/>
          <w:sz w:val="20"/>
          <w:szCs w:val="20"/>
          <w:lang w:val="es-CO"/>
        </w:rPr>
      </w:pPr>
    </w:p>
    <w:p w14:paraId="6FCEAEA0" w14:textId="77777777" w:rsidR="002B3922" w:rsidRPr="00D557C1" w:rsidRDefault="002B3922" w:rsidP="00B92F3C">
      <w:pPr>
        <w:pStyle w:val="Normal9pt"/>
        <w:numPr>
          <w:ilvl w:val="0"/>
          <w:numId w:val="10"/>
        </w:numPr>
        <w:rPr>
          <w:rFonts w:ascii="Verdana" w:hAnsi="Verdana"/>
          <w:sz w:val="20"/>
          <w:szCs w:val="20"/>
          <w:lang w:val="es-CO"/>
        </w:rPr>
      </w:pPr>
      <w:r w:rsidRPr="00D557C1">
        <w:rPr>
          <w:rFonts w:ascii="Verdana" w:hAnsi="Verdana"/>
          <w:sz w:val="20"/>
          <w:szCs w:val="20"/>
          <w:lang w:val="es-CO"/>
        </w:rPr>
        <w:t xml:space="preserve">Para el caso de la prueba de resistencia de liquidez, las entidades deben remitir los planes de contingencia que implementarían en virtud de la materialización del escenario adverso. </w:t>
      </w:r>
      <w:r w:rsidR="000F1E2A" w:rsidRPr="00D557C1">
        <w:rPr>
          <w:rFonts w:ascii="Verdana" w:hAnsi="Verdana"/>
          <w:sz w:val="20"/>
          <w:szCs w:val="20"/>
          <w:lang w:val="es-CO"/>
        </w:rPr>
        <w:t xml:space="preserve">Estos planes </w:t>
      </w:r>
      <w:r w:rsidRPr="00D557C1">
        <w:rPr>
          <w:rFonts w:ascii="Verdana" w:hAnsi="Verdana"/>
          <w:sz w:val="20"/>
          <w:szCs w:val="20"/>
          <w:lang w:val="es-CO"/>
        </w:rPr>
        <w:t>deben describir las políticas y procedimientos</w:t>
      </w:r>
      <w:r w:rsidR="00595B0A" w:rsidRPr="00D557C1">
        <w:rPr>
          <w:rFonts w:ascii="Verdana" w:hAnsi="Verdana"/>
          <w:sz w:val="20"/>
          <w:szCs w:val="20"/>
          <w:lang w:val="es-CO"/>
        </w:rPr>
        <w:t xml:space="preserve"> para</w:t>
      </w:r>
      <w:r w:rsidRPr="00D557C1">
        <w:rPr>
          <w:rFonts w:ascii="Verdana" w:hAnsi="Verdana"/>
          <w:sz w:val="20"/>
          <w:szCs w:val="20"/>
          <w:lang w:val="es-CO"/>
        </w:rPr>
        <w:t xml:space="preserve"> </w:t>
      </w:r>
      <w:r w:rsidR="000F1E2A" w:rsidRPr="00D557C1">
        <w:rPr>
          <w:rFonts w:ascii="Verdana" w:hAnsi="Verdana"/>
          <w:sz w:val="20"/>
          <w:szCs w:val="20"/>
          <w:lang w:val="es-CO"/>
        </w:rPr>
        <w:t>gestionar una crisis de liquidez</w:t>
      </w:r>
      <w:r w:rsidRPr="00D557C1">
        <w:rPr>
          <w:rFonts w:ascii="Verdana" w:hAnsi="Verdana"/>
          <w:sz w:val="20"/>
          <w:szCs w:val="20"/>
          <w:lang w:val="es-CO"/>
        </w:rPr>
        <w:t xml:space="preserve">, así como los protocolos necesarios para su activación. </w:t>
      </w:r>
      <w:r w:rsidR="000F1E2A" w:rsidRPr="00D557C1">
        <w:rPr>
          <w:rFonts w:ascii="Verdana" w:hAnsi="Verdana"/>
          <w:sz w:val="20"/>
          <w:szCs w:val="20"/>
          <w:lang w:val="es-CO"/>
        </w:rPr>
        <w:t>También d</w:t>
      </w:r>
      <w:r w:rsidRPr="00D557C1">
        <w:rPr>
          <w:rFonts w:ascii="Verdana" w:hAnsi="Verdana"/>
          <w:sz w:val="20"/>
          <w:szCs w:val="20"/>
          <w:lang w:val="es-CO"/>
        </w:rPr>
        <w:t xml:space="preserve">eben tener en cuenta los costos de transacción en la liquidación de activos, las necesidades adicionales de colateral por variaciones de los precios de mercado y el acceso a las líneas de crédito de última instancia del banco central. Sin embargo, el acceso al banco central debe ser </w:t>
      </w:r>
      <w:r w:rsidR="000F1E2A" w:rsidRPr="00D557C1">
        <w:rPr>
          <w:rFonts w:ascii="Verdana" w:hAnsi="Verdana"/>
          <w:sz w:val="20"/>
          <w:szCs w:val="20"/>
          <w:lang w:val="es-CO"/>
        </w:rPr>
        <w:t>la última opción después de haber</w:t>
      </w:r>
      <w:r w:rsidRPr="00D557C1">
        <w:rPr>
          <w:rFonts w:ascii="Verdana" w:hAnsi="Verdana"/>
          <w:sz w:val="20"/>
          <w:szCs w:val="20"/>
          <w:lang w:val="es-CO"/>
        </w:rPr>
        <w:t xml:space="preserve"> agotado las demás instancias, dado que no se trata de una línea de crédito contingente comprometida.</w:t>
      </w:r>
    </w:p>
    <w:p w14:paraId="670E1AD3" w14:textId="77777777" w:rsidR="002B3922" w:rsidRPr="00D557C1" w:rsidRDefault="002B3922" w:rsidP="00D557C1">
      <w:pPr>
        <w:pStyle w:val="Normal9pt"/>
        <w:numPr>
          <w:ilvl w:val="0"/>
          <w:numId w:val="0"/>
        </w:numPr>
        <w:rPr>
          <w:rFonts w:ascii="Verdana" w:hAnsi="Verdana"/>
          <w:sz w:val="20"/>
          <w:szCs w:val="20"/>
          <w:lang w:val="es-CO"/>
        </w:rPr>
      </w:pPr>
    </w:p>
    <w:p w14:paraId="2327F462" w14:textId="77777777" w:rsidR="002B3922" w:rsidRPr="00D557C1" w:rsidRDefault="002B3922" w:rsidP="00B92F3C">
      <w:pPr>
        <w:pStyle w:val="Normal9pt"/>
        <w:numPr>
          <w:ilvl w:val="0"/>
          <w:numId w:val="8"/>
        </w:numPr>
        <w:ind w:left="567" w:hanging="567"/>
        <w:rPr>
          <w:rFonts w:ascii="Verdana" w:hAnsi="Verdana"/>
          <w:sz w:val="20"/>
          <w:szCs w:val="20"/>
          <w:lang w:val="es-CO"/>
        </w:rPr>
      </w:pPr>
      <w:r w:rsidRPr="00D557C1">
        <w:rPr>
          <w:rFonts w:ascii="Verdana" w:hAnsi="Verdana"/>
          <w:sz w:val="20"/>
          <w:szCs w:val="20"/>
          <w:lang w:val="es-CO"/>
        </w:rPr>
        <w:t>Anexos</w:t>
      </w:r>
      <w:r w:rsidR="00A14FD4" w:rsidRPr="00D557C1">
        <w:rPr>
          <w:rFonts w:ascii="Verdana" w:hAnsi="Verdana"/>
          <w:sz w:val="20"/>
          <w:szCs w:val="20"/>
          <w:lang w:val="es-CO"/>
        </w:rPr>
        <w:t>:</w:t>
      </w:r>
    </w:p>
    <w:p w14:paraId="4ED72460" w14:textId="77777777" w:rsidR="002B3922" w:rsidRPr="00D557C1" w:rsidRDefault="002B3922" w:rsidP="00D557C1">
      <w:pPr>
        <w:pStyle w:val="Normal9pt"/>
        <w:numPr>
          <w:ilvl w:val="0"/>
          <w:numId w:val="0"/>
        </w:numPr>
        <w:rPr>
          <w:rFonts w:ascii="Verdana" w:hAnsi="Verdana"/>
          <w:sz w:val="20"/>
          <w:szCs w:val="20"/>
          <w:lang w:val="es-CO"/>
        </w:rPr>
      </w:pPr>
    </w:p>
    <w:p w14:paraId="2E9B495F" w14:textId="77777777" w:rsidR="002B3922" w:rsidRPr="005462B8" w:rsidRDefault="000F1E2A" w:rsidP="00B92F3C">
      <w:pPr>
        <w:pStyle w:val="Normal9pt"/>
        <w:numPr>
          <w:ilvl w:val="0"/>
          <w:numId w:val="11"/>
        </w:numPr>
        <w:rPr>
          <w:rFonts w:ascii="Verdana" w:hAnsi="Verdana"/>
          <w:sz w:val="20"/>
          <w:szCs w:val="20"/>
          <w:lang w:val="es-CO"/>
        </w:rPr>
      </w:pPr>
      <w:r w:rsidRPr="005462B8">
        <w:rPr>
          <w:rFonts w:ascii="Verdana" w:hAnsi="Verdana"/>
          <w:sz w:val="20"/>
          <w:szCs w:val="20"/>
          <w:lang w:val="es-CO"/>
        </w:rPr>
        <w:t xml:space="preserve">Presentar los resultados de los pronósticos </w:t>
      </w:r>
      <w:proofErr w:type="spellStart"/>
      <w:r w:rsidRPr="005462B8">
        <w:rPr>
          <w:rFonts w:ascii="Verdana" w:hAnsi="Verdana"/>
          <w:sz w:val="20"/>
          <w:szCs w:val="20"/>
          <w:lang w:val="es-CO"/>
        </w:rPr>
        <w:t>intramuestra</w:t>
      </w:r>
      <w:proofErr w:type="spellEnd"/>
      <w:r w:rsidRPr="005462B8">
        <w:rPr>
          <w:rFonts w:ascii="Verdana" w:hAnsi="Verdana"/>
          <w:sz w:val="20"/>
          <w:szCs w:val="20"/>
          <w:lang w:val="es-CO"/>
        </w:rPr>
        <w:t xml:space="preserve"> (</w:t>
      </w:r>
      <w:proofErr w:type="spellStart"/>
      <w:r w:rsidRPr="005462B8">
        <w:rPr>
          <w:rFonts w:ascii="Verdana" w:hAnsi="Verdana"/>
          <w:i/>
          <w:sz w:val="20"/>
          <w:szCs w:val="20"/>
          <w:lang w:val="es-CO"/>
        </w:rPr>
        <w:t>backtesting</w:t>
      </w:r>
      <w:proofErr w:type="spellEnd"/>
      <w:r w:rsidRPr="005462B8">
        <w:rPr>
          <w:rFonts w:ascii="Verdana" w:hAnsi="Verdana"/>
          <w:sz w:val="20"/>
          <w:szCs w:val="20"/>
          <w:lang w:val="es-CO"/>
        </w:rPr>
        <w:t xml:space="preserve">) </w:t>
      </w:r>
      <w:r w:rsidR="00DA0C98" w:rsidRPr="005462B8">
        <w:rPr>
          <w:rFonts w:ascii="Verdana" w:hAnsi="Verdana"/>
          <w:sz w:val="20"/>
          <w:szCs w:val="20"/>
          <w:lang w:val="es-CO"/>
        </w:rPr>
        <w:t xml:space="preserve">de los modelos estadísticos implementados </w:t>
      </w:r>
      <w:r w:rsidRPr="005462B8">
        <w:rPr>
          <w:rFonts w:ascii="Verdana" w:hAnsi="Verdana"/>
          <w:sz w:val="20"/>
          <w:szCs w:val="20"/>
          <w:lang w:val="es-CO"/>
        </w:rPr>
        <w:t>en una v</w:t>
      </w:r>
      <w:r w:rsidR="00887123" w:rsidRPr="005462B8">
        <w:rPr>
          <w:rFonts w:ascii="Verdana" w:hAnsi="Verdana"/>
          <w:sz w:val="20"/>
          <w:szCs w:val="20"/>
          <w:lang w:val="es-CO"/>
        </w:rPr>
        <w:t>entana de tiempo no inferior a 1</w:t>
      </w:r>
      <w:r w:rsidR="00164B4E" w:rsidRPr="005462B8">
        <w:rPr>
          <w:rFonts w:ascii="Verdana" w:hAnsi="Verdana"/>
          <w:sz w:val="20"/>
          <w:szCs w:val="20"/>
          <w:lang w:val="es-CO"/>
        </w:rPr>
        <w:t xml:space="preserve"> año</w:t>
      </w:r>
      <w:r w:rsidR="00EC1283" w:rsidRPr="005462B8">
        <w:rPr>
          <w:rFonts w:ascii="Verdana" w:hAnsi="Verdana"/>
          <w:sz w:val="20"/>
          <w:szCs w:val="20"/>
          <w:lang w:val="es-CO"/>
        </w:rPr>
        <w:t xml:space="preserve"> por medio de </w:t>
      </w:r>
      <w:r w:rsidR="00720062" w:rsidRPr="005462B8">
        <w:rPr>
          <w:rFonts w:ascii="Verdana" w:hAnsi="Verdana"/>
          <w:sz w:val="20"/>
          <w:szCs w:val="20"/>
          <w:lang w:val="es-CO"/>
        </w:rPr>
        <w:t>tablas y/o gráfico</w:t>
      </w:r>
      <w:r w:rsidR="00EC1283" w:rsidRPr="005462B8">
        <w:rPr>
          <w:rFonts w:ascii="Verdana" w:hAnsi="Verdana"/>
          <w:sz w:val="20"/>
          <w:szCs w:val="20"/>
          <w:lang w:val="es-CO"/>
        </w:rPr>
        <w:t xml:space="preserve">s de </w:t>
      </w:r>
      <w:r w:rsidR="00720062" w:rsidRPr="005462B8">
        <w:rPr>
          <w:rFonts w:ascii="Verdana" w:hAnsi="Verdana"/>
          <w:sz w:val="20"/>
          <w:szCs w:val="20"/>
          <w:lang w:val="es-CO"/>
        </w:rPr>
        <w:t xml:space="preserve">los </w:t>
      </w:r>
      <w:r w:rsidR="00EC1283" w:rsidRPr="005462B8">
        <w:rPr>
          <w:rFonts w:ascii="Verdana" w:hAnsi="Verdana"/>
          <w:sz w:val="20"/>
          <w:szCs w:val="20"/>
          <w:lang w:val="es-CO"/>
        </w:rPr>
        <w:t>pronóstico</w:t>
      </w:r>
      <w:r w:rsidR="00720062" w:rsidRPr="005462B8">
        <w:rPr>
          <w:rFonts w:ascii="Verdana" w:hAnsi="Verdana"/>
          <w:sz w:val="20"/>
          <w:szCs w:val="20"/>
          <w:lang w:val="es-CO"/>
        </w:rPr>
        <w:t>s</w:t>
      </w:r>
      <w:r w:rsidR="00EC1283" w:rsidRPr="005462B8">
        <w:rPr>
          <w:rFonts w:ascii="Verdana" w:hAnsi="Verdana"/>
          <w:sz w:val="20"/>
          <w:szCs w:val="20"/>
          <w:lang w:val="es-CO"/>
        </w:rPr>
        <w:t xml:space="preserve"> contrastad</w:t>
      </w:r>
      <w:r w:rsidR="00720062" w:rsidRPr="005462B8">
        <w:rPr>
          <w:rFonts w:ascii="Verdana" w:hAnsi="Verdana"/>
          <w:sz w:val="20"/>
          <w:szCs w:val="20"/>
          <w:lang w:val="es-CO"/>
        </w:rPr>
        <w:t>o</w:t>
      </w:r>
      <w:r w:rsidR="00EC1283" w:rsidRPr="005462B8">
        <w:rPr>
          <w:rFonts w:ascii="Verdana" w:hAnsi="Verdana"/>
          <w:sz w:val="20"/>
          <w:szCs w:val="20"/>
          <w:lang w:val="es-CO"/>
        </w:rPr>
        <w:t>s con los datos observados</w:t>
      </w:r>
      <w:r w:rsidRPr="005462B8">
        <w:rPr>
          <w:rFonts w:ascii="Verdana" w:hAnsi="Verdana"/>
          <w:sz w:val="20"/>
          <w:szCs w:val="20"/>
          <w:lang w:val="es-CO"/>
        </w:rPr>
        <w:t xml:space="preserve"> </w:t>
      </w:r>
      <w:r w:rsidR="002B3922" w:rsidRPr="005462B8">
        <w:rPr>
          <w:rFonts w:ascii="Verdana" w:hAnsi="Verdana"/>
          <w:sz w:val="20"/>
          <w:szCs w:val="20"/>
          <w:lang w:val="es-CO"/>
        </w:rPr>
        <w:t xml:space="preserve">y </w:t>
      </w:r>
      <w:r w:rsidRPr="005462B8">
        <w:rPr>
          <w:rFonts w:ascii="Verdana" w:hAnsi="Verdana"/>
          <w:sz w:val="20"/>
          <w:szCs w:val="20"/>
          <w:lang w:val="es-CO"/>
        </w:rPr>
        <w:t xml:space="preserve">las </w:t>
      </w:r>
      <w:r w:rsidR="002B3922" w:rsidRPr="005462B8">
        <w:rPr>
          <w:rFonts w:ascii="Verdana" w:hAnsi="Verdana"/>
          <w:sz w:val="20"/>
          <w:szCs w:val="20"/>
          <w:lang w:val="es-CO"/>
        </w:rPr>
        <w:t>pruebas de validación de supuestos estadísticos.</w:t>
      </w:r>
    </w:p>
    <w:p w14:paraId="165A9AD4" w14:textId="77777777" w:rsidR="00107B98" w:rsidRPr="005462B8" w:rsidRDefault="00107B98" w:rsidP="00107B98">
      <w:pPr>
        <w:pStyle w:val="Normal9pt"/>
        <w:numPr>
          <w:ilvl w:val="0"/>
          <w:numId w:val="0"/>
        </w:numPr>
        <w:ind w:left="1068"/>
        <w:rPr>
          <w:rFonts w:ascii="Verdana" w:hAnsi="Verdana"/>
          <w:sz w:val="20"/>
          <w:szCs w:val="20"/>
          <w:lang w:val="es-CO"/>
        </w:rPr>
      </w:pPr>
    </w:p>
    <w:p w14:paraId="2CF27E46" w14:textId="77777777" w:rsidR="00131A14" w:rsidRPr="005462B8" w:rsidRDefault="00131A14" w:rsidP="00B92F3C">
      <w:pPr>
        <w:pStyle w:val="Normal9pt"/>
        <w:numPr>
          <w:ilvl w:val="0"/>
          <w:numId w:val="11"/>
        </w:numPr>
        <w:rPr>
          <w:rFonts w:ascii="Verdana" w:hAnsi="Verdana"/>
          <w:sz w:val="20"/>
          <w:szCs w:val="20"/>
          <w:lang w:val="es-CO"/>
        </w:rPr>
      </w:pPr>
      <w:r w:rsidRPr="005462B8">
        <w:rPr>
          <w:rFonts w:ascii="Verdana" w:hAnsi="Verdana"/>
          <w:sz w:val="20"/>
          <w:szCs w:val="20"/>
          <w:lang w:val="es-CO"/>
        </w:rPr>
        <w:t xml:space="preserve">Especificar los saldos, duración y tipo </w:t>
      </w:r>
      <w:r w:rsidR="00EC1283" w:rsidRPr="005462B8">
        <w:rPr>
          <w:rFonts w:ascii="Verdana" w:hAnsi="Verdana"/>
          <w:sz w:val="20"/>
          <w:szCs w:val="20"/>
          <w:lang w:val="es-CO"/>
        </w:rPr>
        <w:t xml:space="preserve">de activo </w:t>
      </w:r>
      <w:r w:rsidRPr="005462B8">
        <w:rPr>
          <w:rFonts w:ascii="Verdana" w:hAnsi="Verdana"/>
          <w:sz w:val="20"/>
          <w:szCs w:val="20"/>
          <w:lang w:val="es-CO"/>
        </w:rPr>
        <w:t xml:space="preserve">que conforma el portafolio de liquidez y de </w:t>
      </w:r>
      <w:r w:rsidR="00D736B3" w:rsidRPr="005462B8">
        <w:rPr>
          <w:rFonts w:ascii="Verdana" w:hAnsi="Verdana"/>
          <w:sz w:val="20"/>
          <w:szCs w:val="20"/>
          <w:lang w:val="es-CO"/>
        </w:rPr>
        <w:t>tesorería</w:t>
      </w:r>
      <w:r w:rsidRPr="005462B8">
        <w:rPr>
          <w:rFonts w:ascii="Verdana" w:hAnsi="Verdana"/>
          <w:sz w:val="20"/>
          <w:szCs w:val="20"/>
          <w:lang w:val="es-CO"/>
        </w:rPr>
        <w:t xml:space="preserve"> en el horizonte del ejercicio de acuerdo con el plan de negocio.</w:t>
      </w:r>
    </w:p>
    <w:p w14:paraId="6DE3134D" w14:textId="77777777" w:rsidR="00107B98" w:rsidRPr="005462B8" w:rsidRDefault="00107B98" w:rsidP="00107B98">
      <w:pPr>
        <w:pStyle w:val="Prrafodelista"/>
        <w:rPr>
          <w:rFonts w:ascii="Verdana" w:hAnsi="Verdana"/>
          <w:sz w:val="20"/>
          <w:szCs w:val="20"/>
          <w:lang w:val="es-CO"/>
        </w:rPr>
      </w:pPr>
    </w:p>
    <w:p w14:paraId="3B6862F0" w14:textId="77777777" w:rsidR="002B3922" w:rsidRPr="005462B8" w:rsidRDefault="002B3922" w:rsidP="00B92F3C">
      <w:pPr>
        <w:pStyle w:val="Normal9pt"/>
        <w:numPr>
          <w:ilvl w:val="0"/>
          <w:numId w:val="11"/>
        </w:numPr>
        <w:rPr>
          <w:rFonts w:ascii="Verdana" w:hAnsi="Verdana"/>
          <w:sz w:val="20"/>
          <w:szCs w:val="20"/>
          <w:lang w:val="es-CO"/>
        </w:rPr>
      </w:pPr>
      <w:r w:rsidRPr="005462B8">
        <w:rPr>
          <w:rFonts w:ascii="Verdana" w:hAnsi="Verdana"/>
          <w:sz w:val="20"/>
          <w:szCs w:val="20"/>
          <w:lang w:val="es-CO"/>
        </w:rPr>
        <w:t xml:space="preserve">Especificar los saldos de los depósitos a la vista </w:t>
      </w:r>
      <w:r w:rsidR="00131A14" w:rsidRPr="005462B8">
        <w:rPr>
          <w:rFonts w:ascii="Verdana" w:hAnsi="Verdana"/>
          <w:sz w:val="20"/>
          <w:szCs w:val="20"/>
          <w:lang w:val="es-CO"/>
        </w:rPr>
        <w:t>y los</w:t>
      </w:r>
      <w:r w:rsidR="000F1E2A" w:rsidRPr="005462B8">
        <w:rPr>
          <w:rFonts w:ascii="Verdana" w:hAnsi="Verdana"/>
          <w:sz w:val="20"/>
          <w:szCs w:val="20"/>
          <w:lang w:val="es-CO"/>
        </w:rPr>
        <w:t xml:space="preserve"> </w:t>
      </w:r>
      <w:r w:rsidR="00131A14" w:rsidRPr="005462B8">
        <w:rPr>
          <w:rFonts w:ascii="Verdana" w:hAnsi="Verdana"/>
          <w:sz w:val="20"/>
          <w:szCs w:val="20"/>
          <w:lang w:val="es-CO"/>
        </w:rPr>
        <w:t xml:space="preserve">FRN </w:t>
      </w:r>
      <w:proofErr w:type="gramStart"/>
      <w:r w:rsidRPr="005462B8">
        <w:rPr>
          <w:rFonts w:ascii="Verdana" w:hAnsi="Verdana"/>
          <w:sz w:val="20"/>
          <w:szCs w:val="20"/>
          <w:lang w:val="es-CO"/>
        </w:rPr>
        <w:t>de acuerdo a</w:t>
      </w:r>
      <w:proofErr w:type="gramEnd"/>
      <w:r w:rsidRPr="005462B8">
        <w:rPr>
          <w:rFonts w:ascii="Verdana" w:hAnsi="Verdana"/>
          <w:sz w:val="20"/>
          <w:szCs w:val="20"/>
          <w:lang w:val="es-CO"/>
        </w:rPr>
        <w:t xml:space="preserve"> la segmentación requerida en </w:t>
      </w:r>
      <w:r w:rsidR="005462B8" w:rsidRPr="005462B8">
        <w:rPr>
          <w:rFonts w:ascii="Verdana" w:hAnsi="Verdana"/>
          <w:sz w:val="20"/>
          <w:szCs w:val="20"/>
          <w:lang w:val="es-CO"/>
        </w:rPr>
        <w:t>el párrafo 2.9.A1.35.</w:t>
      </w:r>
      <w:r w:rsidRPr="005462B8">
        <w:rPr>
          <w:rFonts w:ascii="Verdana" w:hAnsi="Verdana"/>
          <w:sz w:val="20"/>
          <w:szCs w:val="20"/>
          <w:lang w:val="es-CO"/>
        </w:rPr>
        <w:t xml:space="preserve"> del presente Anexo.</w:t>
      </w:r>
    </w:p>
    <w:p w14:paraId="2EA875AB" w14:textId="77777777" w:rsidR="00107B98" w:rsidRPr="005462B8" w:rsidRDefault="00107B98" w:rsidP="00107B98">
      <w:pPr>
        <w:pStyle w:val="Normal9pt"/>
        <w:numPr>
          <w:ilvl w:val="0"/>
          <w:numId w:val="0"/>
        </w:numPr>
        <w:ind w:left="1068"/>
        <w:rPr>
          <w:rFonts w:ascii="Verdana" w:hAnsi="Verdana"/>
          <w:sz w:val="20"/>
          <w:szCs w:val="20"/>
          <w:lang w:val="es-CO"/>
        </w:rPr>
      </w:pPr>
    </w:p>
    <w:p w14:paraId="0FB6EADB" w14:textId="77777777" w:rsidR="002B3922" w:rsidRDefault="002B3922" w:rsidP="00B92F3C">
      <w:pPr>
        <w:pStyle w:val="Normal9pt"/>
        <w:numPr>
          <w:ilvl w:val="0"/>
          <w:numId w:val="11"/>
        </w:numPr>
        <w:rPr>
          <w:rFonts w:ascii="Verdana" w:hAnsi="Verdana"/>
          <w:sz w:val="20"/>
          <w:szCs w:val="20"/>
          <w:lang w:val="es-CO"/>
        </w:rPr>
      </w:pPr>
      <w:r w:rsidRPr="005462B8">
        <w:rPr>
          <w:rFonts w:ascii="Verdana" w:hAnsi="Verdana"/>
          <w:sz w:val="20"/>
          <w:szCs w:val="20"/>
          <w:lang w:val="es-CO"/>
        </w:rPr>
        <w:lastRenderedPageBreak/>
        <w:t xml:space="preserve">Especificar el impacto que tienen los choques suministrados en </w:t>
      </w:r>
      <w:r w:rsidR="00131A14" w:rsidRPr="005462B8">
        <w:rPr>
          <w:rFonts w:ascii="Verdana" w:hAnsi="Verdana"/>
          <w:sz w:val="20"/>
          <w:szCs w:val="20"/>
          <w:lang w:val="es-CO"/>
        </w:rPr>
        <w:t xml:space="preserve">los valores proyectados del portafolio de inversiones y derivados teniendo en cuenta su clasificación contable </w:t>
      </w:r>
      <w:r w:rsidR="00107B98" w:rsidRPr="005462B8">
        <w:rPr>
          <w:rFonts w:ascii="Verdana" w:hAnsi="Verdana"/>
          <w:sz w:val="20"/>
          <w:szCs w:val="20"/>
          <w:lang w:val="es-CO"/>
        </w:rPr>
        <w:t>en</w:t>
      </w:r>
      <w:r w:rsidR="00131A14" w:rsidRPr="005462B8">
        <w:rPr>
          <w:rFonts w:ascii="Verdana" w:hAnsi="Verdana"/>
          <w:sz w:val="20"/>
          <w:szCs w:val="20"/>
          <w:lang w:val="es-CO"/>
        </w:rPr>
        <w:t xml:space="preserve"> la fecha de corte para las inversiones y finalidad</w:t>
      </w:r>
      <w:r w:rsidR="000F1E2A" w:rsidRPr="005462B8">
        <w:rPr>
          <w:rFonts w:ascii="Verdana" w:hAnsi="Verdana"/>
          <w:sz w:val="20"/>
          <w:szCs w:val="20"/>
          <w:lang w:val="es-CO"/>
        </w:rPr>
        <w:t>,</w:t>
      </w:r>
      <w:r w:rsidR="00131A14" w:rsidRPr="005462B8">
        <w:rPr>
          <w:rFonts w:ascii="Verdana" w:hAnsi="Verdana"/>
          <w:sz w:val="20"/>
          <w:szCs w:val="20"/>
          <w:lang w:val="es-CO"/>
        </w:rPr>
        <w:t xml:space="preserve"> en el caso de los derivados. Para </w:t>
      </w:r>
      <w:r w:rsidR="000F1E2A" w:rsidRPr="005462B8">
        <w:rPr>
          <w:rFonts w:ascii="Verdana" w:hAnsi="Verdana"/>
          <w:sz w:val="20"/>
          <w:szCs w:val="20"/>
          <w:lang w:val="es-CO"/>
        </w:rPr>
        <w:t>tal fin se</w:t>
      </w:r>
      <w:r w:rsidR="00131A14" w:rsidRPr="005462B8">
        <w:rPr>
          <w:rFonts w:ascii="Verdana" w:hAnsi="Verdana"/>
          <w:sz w:val="20"/>
          <w:szCs w:val="20"/>
          <w:lang w:val="es-CO"/>
        </w:rPr>
        <w:t xml:space="preserve"> debe </w:t>
      </w:r>
      <w:r w:rsidR="000F1E2A" w:rsidRPr="005462B8">
        <w:rPr>
          <w:rFonts w:ascii="Verdana" w:hAnsi="Verdana"/>
          <w:sz w:val="20"/>
          <w:szCs w:val="20"/>
          <w:lang w:val="es-CO"/>
        </w:rPr>
        <w:t>detallar el</w:t>
      </w:r>
      <w:r w:rsidR="00131A14" w:rsidRPr="005462B8">
        <w:rPr>
          <w:rFonts w:ascii="Verdana" w:hAnsi="Verdana"/>
          <w:sz w:val="20"/>
          <w:szCs w:val="20"/>
          <w:lang w:val="es-CO"/>
        </w:rPr>
        <w:t xml:space="preserve"> efecto de los </w:t>
      </w:r>
      <w:r w:rsidR="000F1E2A" w:rsidRPr="005462B8">
        <w:rPr>
          <w:rFonts w:ascii="Verdana" w:hAnsi="Verdana"/>
          <w:sz w:val="20"/>
          <w:szCs w:val="20"/>
          <w:lang w:val="es-CO"/>
        </w:rPr>
        <w:t>choques suministrados sobre</w:t>
      </w:r>
      <w:r w:rsidR="00131A14" w:rsidRPr="005462B8">
        <w:rPr>
          <w:rFonts w:ascii="Verdana" w:hAnsi="Verdana"/>
          <w:sz w:val="20"/>
          <w:szCs w:val="20"/>
          <w:lang w:val="es-CO"/>
        </w:rPr>
        <w:t xml:space="preserve"> los valores reportados en las respectivas cuentas del ORI</w:t>
      </w:r>
      <w:r w:rsidR="00131A14" w:rsidRPr="00D557C1">
        <w:rPr>
          <w:rFonts w:ascii="Verdana" w:hAnsi="Verdana"/>
          <w:sz w:val="20"/>
          <w:szCs w:val="20"/>
          <w:lang w:val="es-CO"/>
        </w:rPr>
        <w:t xml:space="preserve"> (Otros Resultados Integrales) y del Estado de Resultados</w:t>
      </w:r>
      <w:r w:rsidRPr="00D557C1">
        <w:rPr>
          <w:rFonts w:ascii="Verdana" w:hAnsi="Verdana"/>
          <w:sz w:val="20"/>
          <w:szCs w:val="20"/>
          <w:lang w:val="es-CO"/>
        </w:rPr>
        <w:t>.</w:t>
      </w:r>
    </w:p>
    <w:p w14:paraId="775C7CD7" w14:textId="77777777" w:rsidR="00107B98" w:rsidRPr="00D557C1" w:rsidRDefault="00107B98" w:rsidP="00107B98">
      <w:pPr>
        <w:pStyle w:val="Normal9pt"/>
        <w:numPr>
          <w:ilvl w:val="0"/>
          <w:numId w:val="0"/>
        </w:numPr>
        <w:ind w:left="1068"/>
        <w:rPr>
          <w:rFonts w:ascii="Verdana" w:hAnsi="Verdana"/>
          <w:sz w:val="20"/>
          <w:szCs w:val="20"/>
          <w:lang w:val="es-CO"/>
        </w:rPr>
      </w:pPr>
    </w:p>
    <w:p w14:paraId="322E4788" w14:textId="77777777" w:rsidR="002B3922" w:rsidRPr="00D557C1" w:rsidRDefault="002B3922" w:rsidP="00B92F3C">
      <w:pPr>
        <w:pStyle w:val="Normal9pt"/>
        <w:numPr>
          <w:ilvl w:val="0"/>
          <w:numId w:val="11"/>
        </w:numPr>
        <w:rPr>
          <w:rFonts w:ascii="Verdana" w:hAnsi="Verdana"/>
          <w:sz w:val="20"/>
          <w:szCs w:val="20"/>
          <w:lang w:val="es-CO"/>
        </w:rPr>
      </w:pPr>
      <w:r w:rsidRPr="00D557C1">
        <w:rPr>
          <w:rFonts w:ascii="Verdana" w:hAnsi="Verdana"/>
          <w:sz w:val="20"/>
          <w:szCs w:val="20"/>
          <w:lang w:val="es-CO"/>
        </w:rPr>
        <w:t xml:space="preserve">Otros: Demás anexos que considere la entidad, relacionados con la información de los </w:t>
      </w:r>
      <w:r w:rsidR="00107B98">
        <w:rPr>
          <w:rFonts w:ascii="Verdana" w:hAnsi="Verdana"/>
          <w:sz w:val="20"/>
          <w:szCs w:val="20"/>
          <w:lang w:val="es-CO"/>
        </w:rPr>
        <w:t xml:space="preserve">literales (a) </w:t>
      </w:r>
      <w:r w:rsidR="0064276E" w:rsidRPr="00D557C1">
        <w:rPr>
          <w:rFonts w:ascii="Verdana" w:hAnsi="Verdana"/>
          <w:sz w:val="20"/>
          <w:szCs w:val="20"/>
          <w:lang w:val="es-CO"/>
        </w:rPr>
        <w:t xml:space="preserve">al </w:t>
      </w:r>
      <w:r w:rsidR="00107B98">
        <w:rPr>
          <w:rFonts w:ascii="Verdana" w:hAnsi="Verdana"/>
          <w:sz w:val="20"/>
          <w:szCs w:val="20"/>
          <w:lang w:val="es-CO"/>
        </w:rPr>
        <w:t>(e)</w:t>
      </w:r>
      <w:r w:rsidR="0064276E" w:rsidRPr="00D557C1">
        <w:rPr>
          <w:rFonts w:ascii="Verdana" w:hAnsi="Verdana"/>
          <w:sz w:val="20"/>
          <w:szCs w:val="20"/>
          <w:lang w:val="es-CO"/>
        </w:rPr>
        <w:t xml:space="preserve"> del presente anexo</w:t>
      </w:r>
      <w:r w:rsidR="000F1E2A" w:rsidRPr="00D557C1">
        <w:rPr>
          <w:rFonts w:ascii="Verdana" w:hAnsi="Verdana"/>
          <w:sz w:val="20"/>
          <w:szCs w:val="20"/>
          <w:lang w:val="es-CO"/>
        </w:rPr>
        <w:t>.</w:t>
      </w:r>
    </w:p>
    <w:p w14:paraId="347AF6F6" w14:textId="77777777" w:rsidR="007763E0" w:rsidRDefault="007763E0" w:rsidP="00D557C1">
      <w:pPr>
        <w:jc w:val="both"/>
        <w:rPr>
          <w:rFonts w:ascii="Verdana" w:hAnsi="Verdana"/>
          <w:sz w:val="20"/>
          <w:szCs w:val="20"/>
          <w:lang w:val="es-CO"/>
        </w:rPr>
      </w:pPr>
    </w:p>
    <w:p w14:paraId="6C610AF0"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41</w:t>
      </w:r>
      <w:r w:rsidRPr="007C56A4">
        <w:rPr>
          <w:rFonts w:ascii="Verdana" w:hAnsi="Verdana"/>
          <w:spacing w:val="0"/>
          <w:sz w:val="20"/>
          <w:szCs w:val="20"/>
          <w:lang w:val="es-CO"/>
        </w:rPr>
        <w:t>.</w:t>
      </w:r>
    </w:p>
    <w:p w14:paraId="61ED95A4" w14:textId="4B95D186" w:rsidR="000F1E2A" w:rsidRPr="00D557C1" w:rsidRDefault="00107B98" w:rsidP="00D557C1">
      <w:pPr>
        <w:pStyle w:val="Normal9pt"/>
        <w:numPr>
          <w:ilvl w:val="0"/>
          <w:numId w:val="0"/>
        </w:numPr>
        <w:rPr>
          <w:rFonts w:ascii="Verdana" w:hAnsi="Verdana"/>
          <w:sz w:val="20"/>
          <w:szCs w:val="20"/>
          <w:lang w:val="es-CO"/>
        </w:rPr>
      </w:pPr>
      <w:r>
        <w:rPr>
          <w:rFonts w:ascii="Verdana" w:hAnsi="Verdana"/>
          <w:sz w:val="20"/>
          <w:szCs w:val="20"/>
          <w:lang w:val="es-CO"/>
        </w:rPr>
        <w:t>Las e</w:t>
      </w:r>
      <w:r w:rsidR="000F1E2A" w:rsidRPr="00D557C1">
        <w:rPr>
          <w:rFonts w:ascii="Verdana" w:hAnsi="Verdana"/>
          <w:sz w:val="20"/>
          <w:szCs w:val="20"/>
          <w:lang w:val="es-CO"/>
        </w:rPr>
        <w:t>ntidades del Grupo 1</w:t>
      </w:r>
      <w:r w:rsidR="00007115" w:rsidRPr="00D557C1">
        <w:rPr>
          <w:rFonts w:ascii="Verdana" w:hAnsi="Verdana"/>
          <w:sz w:val="20"/>
          <w:szCs w:val="20"/>
          <w:lang w:val="es-CO"/>
        </w:rPr>
        <w:t xml:space="preserve"> deben cumplir con las instrucciones de los </w:t>
      </w:r>
      <w:r w:rsidR="00811D51">
        <w:rPr>
          <w:rFonts w:ascii="Verdana" w:hAnsi="Verdana"/>
          <w:sz w:val="20"/>
          <w:szCs w:val="20"/>
          <w:lang w:val="es-CO"/>
        </w:rPr>
        <w:t>ordinales</w:t>
      </w:r>
      <w:r w:rsidR="00007115" w:rsidRPr="00D557C1">
        <w:rPr>
          <w:rFonts w:ascii="Verdana" w:hAnsi="Verdana"/>
          <w:sz w:val="20"/>
          <w:szCs w:val="20"/>
          <w:lang w:val="es-CO"/>
        </w:rPr>
        <w:t xml:space="preserve"> </w:t>
      </w:r>
      <w:r>
        <w:rPr>
          <w:rFonts w:ascii="Verdana" w:hAnsi="Verdana"/>
          <w:sz w:val="20"/>
          <w:szCs w:val="20"/>
          <w:lang w:val="es-CO"/>
        </w:rPr>
        <w:t xml:space="preserve">(i) </w:t>
      </w:r>
      <w:r w:rsidR="000F1E2A" w:rsidRPr="00D557C1">
        <w:rPr>
          <w:rFonts w:ascii="Verdana" w:hAnsi="Verdana"/>
          <w:sz w:val="20"/>
          <w:szCs w:val="20"/>
          <w:lang w:val="es-CO"/>
        </w:rPr>
        <w:t>a</w:t>
      </w:r>
      <w:r>
        <w:rPr>
          <w:rFonts w:ascii="Verdana" w:hAnsi="Verdana"/>
          <w:sz w:val="20"/>
          <w:szCs w:val="20"/>
          <w:lang w:val="es-CO"/>
        </w:rPr>
        <w:t>l (v)</w:t>
      </w:r>
      <w:r w:rsidR="00811D51">
        <w:rPr>
          <w:rFonts w:ascii="Verdana" w:hAnsi="Verdana"/>
          <w:sz w:val="20"/>
          <w:szCs w:val="20"/>
          <w:lang w:val="es-CO"/>
        </w:rPr>
        <w:t xml:space="preserve"> </w:t>
      </w:r>
      <w:r>
        <w:rPr>
          <w:rFonts w:ascii="Verdana" w:hAnsi="Verdana"/>
          <w:sz w:val="20"/>
          <w:szCs w:val="20"/>
          <w:lang w:val="es-CO"/>
        </w:rPr>
        <w:t xml:space="preserve">del literal </w:t>
      </w:r>
      <w:r w:rsidR="00811D51">
        <w:rPr>
          <w:rFonts w:ascii="Verdana" w:hAnsi="Verdana"/>
          <w:sz w:val="20"/>
          <w:szCs w:val="20"/>
          <w:lang w:val="es-CO"/>
        </w:rPr>
        <w:t>(</w:t>
      </w:r>
      <w:r>
        <w:rPr>
          <w:rFonts w:ascii="Verdana" w:hAnsi="Verdana"/>
          <w:sz w:val="20"/>
          <w:szCs w:val="20"/>
          <w:lang w:val="es-CO"/>
        </w:rPr>
        <w:t>f</w:t>
      </w:r>
      <w:r w:rsidR="00811D51">
        <w:rPr>
          <w:rFonts w:ascii="Verdana" w:hAnsi="Verdana"/>
          <w:sz w:val="20"/>
          <w:szCs w:val="20"/>
          <w:lang w:val="es-CO"/>
        </w:rPr>
        <w:t>)</w:t>
      </w:r>
      <w:r>
        <w:rPr>
          <w:rFonts w:ascii="Verdana" w:hAnsi="Verdana"/>
          <w:sz w:val="20"/>
          <w:szCs w:val="20"/>
          <w:lang w:val="es-CO"/>
        </w:rPr>
        <w:t xml:space="preserve"> del párrafo 2.9.A1.41</w:t>
      </w:r>
      <w:r w:rsidR="00354DCE">
        <w:rPr>
          <w:rFonts w:ascii="Verdana" w:hAnsi="Verdana"/>
          <w:sz w:val="20"/>
          <w:szCs w:val="20"/>
          <w:lang w:val="es-CO"/>
        </w:rPr>
        <w:t xml:space="preserve">, </w:t>
      </w:r>
      <w:r w:rsidR="00007115" w:rsidRPr="00D557C1">
        <w:rPr>
          <w:rFonts w:ascii="Verdana" w:hAnsi="Verdana"/>
          <w:sz w:val="20"/>
          <w:szCs w:val="20"/>
          <w:lang w:val="es-CO"/>
        </w:rPr>
        <w:t>en relación con los anexos.</w:t>
      </w:r>
    </w:p>
    <w:p w14:paraId="7292A98A" w14:textId="77777777" w:rsidR="00C2207E" w:rsidRDefault="00C2207E" w:rsidP="00D557C1">
      <w:pPr>
        <w:pStyle w:val="Normal9pt"/>
        <w:numPr>
          <w:ilvl w:val="0"/>
          <w:numId w:val="0"/>
        </w:numPr>
        <w:rPr>
          <w:rFonts w:ascii="Verdana" w:hAnsi="Verdana"/>
          <w:sz w:val="20"/>
          <w:szCs w:val="20"/>
          <w:lang w:val="es-CO"/>
        </w:rPr>
      </w:pPr>
    </w:p>
    <w:p w14:paraId="7F7F01B9"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42</w:t>
      </w:r>
      <w:r w:rsidRPr="007C56A4">
        <w:rPr>
          <w:rFonts w:ascii="Verdana" w:hAnsi="Verdana"/>
          <w:spacing w:val="0"/>
          <w:sz w:val="20"/>
          <w:szCs w:val="20"/>
          <w:lang w:val="es-CO"/>
        </w:rPr>
        <w:t>.</w:t>
      </w:r>
    </w:p>
    <w:p w14:paraId="46721A4E" w14:textId="295B3E06" w:rsidR="00107B98" w:rsidRPr="00107B98" w:rsidRDefault="00107B98" w:rsidP="00107B98">
      <w:pPr>
        <w:jc w:val="both"/>
        <w:rPr>
          <w:rFonts w:ascii="Verdana" w:hAnsi="Verdana"/>
          <w:spacing w:val="0"/>
          <w:sz w:val="20"/>
          <w:szCs w:val="20"/>
          <w:lang w:val="es-CO"/>
        </w:rPr>
      </w:pPr>
      <w:r w:rsidRPr="00107B98">
        <w:rPr>
          <w:rFonts w:ascii="Verdana" w:hAnsi="Verdana"/>
          <w:spacing w:val="0"/>
          <w:sz w:val="20"/>
          <w:szCs w:val="20"/>
          <w:lang w:val="es-CO"/>
        </w:rPr>
        <w:t>Las e</w:t>
      </w:r>
      <w:r w:rsidR="000F1E2A" w:rsidRPr="00107B98">
        <w:rPr>
          <w:rFonts w:ascii="Verdana" w:hAnsi="Verdana"/>
          <w:spacing w:val="0"/>
          <w:sz w:val="20"/>
          <w:szCs w:val="20"/>
          <w:lang w:val="es-CO"/>
        </w:rPr>
        <w:t xml:space="preserve">ntidades del Grupo 2 </w:t>
      </w:r>
      <w:r w:rsidR="007763E0" w:rsidRPr="00107B98">
        <w:rPr>
          <w:rFonts w:ascii="Verdana" w:hAnsi="Verdana"/>
          <w:spacing w:val="0"/>
          <w:sz w:val="20"/>
          <w:szCs w:val="20"/>
          <w:lang w:val="es-CO"/>
        </w:rPr>
        <w:t>cuyo grupo de activos principal sea inversiones y operaciones con derivados</w:t>
      </w:r>
      <w:r w:rsidR="00007115" w:rsidRPr="00107B98">
        <w:rPr>
          <w:rFonts w:ascii="Verdana" w:hAnsi="Verdana"/>
          <w:spacing w:val="0"/>
          <w:sz w:val="20"/>
          <w:szCs w:val="20"/>
          <w:lang w:val="es-CO"/>
        </w:rPr>
        <w:t xml:space="preserve"> deben cumplir con las instrucciones de los </w:t>
      </w:r>
      <w:r w:rsidR="00811D51">
        <w:rPr>
          <w:rFonts w:ascii="Verdana" w:hAnsi="Verdana"/>
          <w:sz w:val="20"/>
          <w:szCs w:val="20"/>
          <w:lang w:val="es-CO"/>
        </w:rPr>
        <w:t>ordinales</w:t>
      </w:r>
      <w:r w:rsidR="00007115" w:rsidRPr="00107B98">
        <w:rPr>
          <w:rFonts w:ascii="Verdana" w:hAnsi="Verdana"/>
          <w:spacing w:val="0"/>
          <w:sz w:val="20"/>
          <w:szCs w:val="20"/>
          <w:lang w:val="es-CO"/>
        </w:rPr>
        <w:t xml:space="preserve"> </w:t>
      </w:r>
      <w:r w:rsidRPr="00107B98">
        <w:rPr>
          <w:rFonts w:ascii="Verdana" w:hAnsi="Verdana"/>
          <w:spacing w:val="0"/>
          <w:sz w:val="20"/>
          <w:szCs w:val="20"/>
          <w:lang w:val="es-CO"/>
        </w:rPr>
        <w:t>(</w:t>
      </w:r>
      <w:proofErr w:type="spellStart"/>
      <w:r w:rsidRPr="00107B98">
        <w:rPr>
          <w:rFonts w:ascii="Verdana" w:hAnsi="Verdana"/>
          <w:spacing w:val="0"/>
          <w:sz w:val="20"/>
          <w:szCs w:val="20"/>
          <w:lang w:val="es-CO"/>
        </w:rPr>
        <w:t>ii</w:t>
      </w:r>
      <w:proofErr w:type="spellEnd"/>
      <w:r w:rsidRPr="00107B98">
        <w:rPr>
          <w:rFonts w:ascii="Verdana" w:hAnsi="Verdana"/>
          <w:spacing w:val="0"/>
          <w:sz w:val="20"/>
          <w:szCs w:val="20"/>
          <w:lang w:val="es-CO"/>
        </w:rPr>
        <w:t xml:space="preserve">) al (v) del literal </w:t>
      </w:r>
      <w:r w:rsidR="00811D51">
        <w:rPr>
          <w:rFonts w:ascii="Verdana" w:hAnsi="Verdana"/>
          <w:spacing w:val="0"/>
          <w:sz w:val="20"/>
          <w:szCs w:val="20"/>
          <w:lang w:val="es-CO"/>
        </w:rPr>
        <w:t>(</w:t>
      </w:r>
      <w:r w:rsidRPr="00107B98">
        <w:rPr>
          <w:rFonts w:ascii="Verdana" w:hAnsi="Verdana"/>
          <w:spacing w:val="0"/>
          <w:sz w:val="20"/>
          <w:szCs w:val="20"/>
          <w:lang w:val="es-CO"/>
        </w:rPr>
        <w:t>f</w:t>
      </w:r>
      <w:r w:rsidR="00811D51">
        <w:rPr>
          <w:rFonts w:ascii="Verdana" w:hAnsi="Verdana"/>
          <w:spacing w:val="0"/>
          <w:sz w:val="20"/>
          <w:szCs w:val="20"/>
          <w:lang w:val="es-CO"/>
        </w:rPr>
        <w:t>)</w:t>
      </w:r>
      <w:r w:rsidRPr="00107B98">
        <w:rPr>
          <w:rFonts w:ascii="Verdana" w:hAnsi="Verdana"/>
          <w:spacing w:val="0"/>
          <w:sz w:val="20"/>
          <w:szCs w:val="20"/>
          <w:lang w:val="es-CO"/>
        </w:rPr>
        <w:t xml:space="preserve"> del párrafo </w:t>
      </w: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41</w:t>
      </w:r>
      <w:r w:rsidR="00354DCE">
        <w:rPr>
          <w:rFonts w:ascii="Verdana" w:hAnsi="Verdana"/>
          <w:spacing w:val="0"/>
          <w:sz w:val="20"/>
          <w:szCs w:val="20"/>
          <w:lang w:val="es-CO"/>
        </w:rPr>
        <w:t xml:space="preserve">, </w:t>
      </w:r>
      <w:r w:rsidRPr="00107B98">
        <w:rPr>
          <w:rFonts w:ascii="Verdana" w:hAnsi="Verdana"/>
          <w:spacing w:val="0"/>
          <w:sz w:val="20"/>
          <w:szCs w:val="20"/>
          <w:lang w:val="es-CO"/>
        </w:rPr>
        <w:t>en relación con los anexos.</w:t>
      </w:r>
    </w:p>
    <w:p w14:paraId="2268052B" w14:textId="77777777" w:rsidR="000F1E2A" w:rsidRDefault="000F1E2A" w:rsidP="00D557C1">
      <w:pPr>
        <w:jc w:val="both"/>
        <w:rPr>
          <w:rFonts w:ascii="Verdana" w:hAnsi="Verdana"/>
          <w:spacing w:val="0"/>
          <w:sz w:val="20"/>
          <w:szCs w:val="20"/>
          <w:lang w:val="es-CO"/>
        </w:rPr>
      </w:pPr>
    </w:p>
    <w:p w14:paraId="0B9B0C81" w14:textId="77777777" w:rsidR="00107B98" w:rsidRPr="007C56A4" w:rsidRDefault="00107B98" w:rsidP="00107B98">
      <w:pPr>
        <w:jc w:val="both"/>
        <w:rPr>
          <w:rFonts w:ascii="Verdana" w:hAnsi="Verdana"/>
          <w:spacing w:val="0"/>
          <w:sz w:val="20"/>
          <w:szCs w:val="20"/>
          <w:lang w:val="es-CO"/>
        </w:rPr>
      </w:pP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43</w:t>
      </w:r>
      <w:r w:rsidRPr="007C56A4">
        <w:rPr>
          <w:rFonts w:ascii="Verdana" w:hAnsi="Verdana"/>
          <w:spacing w:val="0"/>
          <w:sz w:val="20"/>
          <w:szCs w:val="20"/>
          <w:lang w:val="es-CO"/>
        </w:rPr>
        <w:t>.</w:t>
      </w:r>
    </w:p>
    <w:p w14:paraId="563B6816" w14:textId="0EEDB6E6" w:rsidR="003C1479" w:rsidRPr="00107B98" w:rsidRDefault="00107B98" w:rsidP="00107B98">
      <w:pPr>
        <w:jc w:val="both"/>
        <w:rPr>
          <w:rFonts w:ascii="Verdana" w:hAnsi="Verdana"/>
          <w:spacing w:val="0"/>
          <w:sz w:val="20"/>
          <w:szCs w:val="20"/>
          <w:lang w:val="es-CO"/>
        </w:rPr>
      </w:pPr>
      <w:r w:rsidRPr="00107B98">
        <w:rPr>
          <w:rFonts w:ascii="Verdana" w:hAnsi="Verdana"/>
          <w:spacing w:val="0"/>
          <w:sz w:val="20"/>
          <w:szCs w:val="20"/>
          <w:lang w:val="es-CO"/>
        </w:rPr>
        <w:t>Las e</w:t>
      </w:r>
      <w:r w:rsidR="007763E0" w:rsidRPr="00107B98">
        <w:rPr>
          <w:rFonts w:ascii="Verdana" w:hAnsi="Verdana"/>
          <w:spacing w:val="0"/>
          <w:sz w:val="20"/>
          <w:szCs w:val="20"/>
          <w:lang w:val="es-CO"/>
        </w:rPr>
        <w:t>ntidades del Grupo 2 cuyo grupo de activos principal sea cartera de créditos y operaciones de leasing</w:t>
      </w:r>
      <w:r w:rsidR="00007115" w:rsidRPr="00107B98">
        <w:rPr>
          <w:rFonts w:ascii="Verdana" w:hAnsi="Verdana"/>
          <w:spacing w:val="0"/>
          <w:sz w:val="20"/>
          <w:szCs w:val="20"/>
          <w:lang w:val="es-CO"/>
        </w:rPr>
        <w:t xml:space="preserve"> debe cumplir con las instrucciones de los </w:t>
      </w:r>
      <w:r w:rsidR="00811D51">
        <w:rPr>
          <w:rFonts w:ascii="Verdana" w:hAnsi="Verdana"/>
          <w:sz w:val="20"/>
          <w:szCs w:val="20"/>
          <w:lang w:val="es-CO"/>
        </w:rPr>
        <w:t>ordinales</w:t>
      </w:r>
      <w:r>
        <w:rPr>
          <w:rFonts w:ascii="Verdana" w:hAnsi="Verdana"/>
          <w:spacing w:val="0"/>
          <w:sz w:val="20"/>
          <w:szCs w:val="20"/>
          <w:lang w:val="es-CO"/>
        </w:rPr>
        <w:t xml:space="preserve"> (</w:t>
      </w:r>
      <w:proofErr w:type="spellStart"/>
      <w:r w:rsidRPr="00107B98">
        <w:rPr>
          <w:rFonts w:ascii="Verdana" w:hAnsi="Verdana"/>
          <w:spacing w:val="0"/>
          <w:sz w:val="20"/>
          <w:szCs w:val="20"/>
          <w:lang w:val="es-CO"/>
        </w:rPr>
        <w:t>iii</w:t>
      </w:r>
      <w:proofErr w:type="spellEnd"/>
      <w:r>
        <w:rPr>
          <w:rFonts w:ascii="Verdana" w:hAnsi="Verdana"/>
          <w:spacing w:val="0"/>
          <w:sz w:val="20"/>
          <w:szCs w:val="20"/>
          <w:lang w:val="es-CO"/>
        </w:rPr>
        <w:t>)</w:t>
      </w:r>
      <w:r w:rsidRPr="00107B98">
        <w:rPr>
          <w:rFonts w:ascii="Verdana" w:hAnsi="Verdana"/>
          <w:spacing w:val="0"/>
          <w:sz w:val="20"/>
          <w:szCs w:val="20"/>
          <w:lang w:val="es-CO"/>
        </w:rPr>
        <w:t xml:space="preserve"> </w:t>
      </w:r>
      <w:r w:rsidR="000F1E2A" w:rsidRPr="00107B98">
        <w:rPr>
          <w:rFonts w:ascii="Verdana" w:hAnsi="Verdana"/>
          <w:spacing w:val="0"/>
          <w:sz w:val="20"/>
          <w:szCs w:val="20"/>
          <w:lang w:val="es-CO"/>
        </w:rPr>
        <w:t xml:space="preserve">y </w:t>
      </w:r>
      <w:r>
        <w:rPr>
          <w:rFonts w:ascii="Verdana" w:hAnsi="Verdana"/>
          <w:spacing w:val="0"/>
          <w:sz w:val="20"/>
          <w:szCs w:val="20"/>
          <w:lang w:val="es-CO"/>
        </w:rPr>
        <w:t>(</w:t>
      </w:r>
      <w:r w:rsidRPr="00107B98">
        <w:rPr>
          <w:rFonts w:ascii="Verdana" w:hAnsi="Verdana"/>
          <w:spacing w:val="0"/>
          <w:sz w:val="20"/>
          <w:szCs w:val="20"/>
          <w:lang w:val="es-CO"/>
        </w:rPr>
        <w:t>v</w:t>
      </w:r>
      <w:r>
        <w:rPr>
          <w:rFonts w:ascii="Verdana" w:hAnsi="Verdana"/>
          <w:spacing w:val="0"/>
          <w:sz w:val="20"/>
          <w:szCs w:val="20"/>
          <w:lang w:val="es-CO"/>
        </w:rPr>
        <w:t>)</w:t>
      </w:r>
      <w:r w:rsidRPr="00107B98">
        <w:rPr>
          <w:rFonts w:ascii="Verdana" w:hAnsi="Verdana"/>
          <w:spacing w:val="0"/>
          <w:sz w:val="20"/>
          <w:szCs w:val="20"/>
          <w:lang w:val="es-CO"/>
        </w:rPr>
        <w:t xml:space="preserve"> del literal </w:t>
      </w:r>
      <w:r w:rsidR="00811D51">
        <w:rPr>
          <w:rFonts w:ascii="Verdana" w:hAnsi="Verdana"/>
          <w:spacing w:val="0"/>
          <w:sz w:val="20"/>
          <w:szCs w:val="20"/>
          <w:lang w:val="es-CO"/>
        </w:rPr>
        <w:t>(</w:t>
      </w:r>
      <w:r w:rsidRPr="00107B98">
        <w:rPr>
          <w:rFonts w:ascii="Verdana" w:hAnsi="Verdana"/>
          <w:spacing w:val="0"/>
          <w:sz w:val="20"/>
          <w:szCs w:val="20"/>
          <w:lang w:val="es-CO"/>
        </w:rPr>
        <w:t>f</w:t>
      </w:r>
      <w:r w:rsidR="00811D51">
        <w:rPr>
          <w:rFonts w:ascii="Verdana" w:hAnsi="Verdana"/>
          <w:spacing w:val="0"/>
          <w:sz w:val="20"/>
          <w:szCs w:val="20"/>
          <w:lang w:val="es-CO"/>
        </w:rPr>
        <w:t>)</w:t>
      </w:r>
      <w:r w:rsidRPr="00107B98">
        <w:rPr>
          <w:rFonts w:ascii="Verdana" w:hAnsi="Verdana"/>
          <w:spacing w:val="0"/>
          <w:sz w:val="20"/>
          <w:szCs w:val="20"/>
          <w:lang w:val="es-CO"/>
        </w:rPr>
        <w:t xml:space="preserve"> del párrafo </w:t>
      </w:r>
      <w:r w:rsidRPr="007C56A4">
        <w:rPr>
          <w:rFonts w:ascii="Verdana" w:hAnsi="Verdana"/>
          <w:spacing w:val="0"/>
          <w:sz w:val="20"/>
          <w:szCs w:val="20"/>
          <w:lang w:val="es-CO"/>
        </w:rPr>
        <w:t>2.</w:t>
      </w:r>
      <w:r>
        <w:rPr>
          <w:rFonts w:ascii="Verdana" w:hAnsi="Verdana"/>
          <w:spacing w:val="0"/>
          <w:sz w:val="20"/>
          <w:szCs w:val="20"/>
          <w:lang w:val="es-CO"/>
        </w:rPr>
        <w:t>9</w:t>
      </w:r>
      <w:r w:rsidRPr="007C56A4">
        <w:rPr>
          <w:rFonts w:ascii="Verdana" w:hAnsi="Verdana"/>
          <w:spacing w:val="0"/>
          <w:sz w:val="20"/>
          <w:szCs w:val="20"/>
          <w:lang w:val="es-CO"/>
        </w:rPr>
        <w:t>.A</w:t>
      </w:r>
      <w:r>
        <w:rPr>
          <w:rFonts w:ascii="Verdana" w:hAnsi="Verdana"/>
          <w:spacing w:val="0"/>
          <w:sz w:val="20"/>
          <w:szCs w:val="20"/>
          <w:lang w:val="es-CO"/>
        </w:rPr>
        <w:t>1</w:t>
      </w:r>
      <w:r w:rsidRPr="007C56A4">
        <w:rPr>
          <w:rFonts w:ascii="Verdana" w:hAnsi="Verdana"/>
          <w:spacing w:val="0"/>
          <w:sz w:val="20"/>
          <w:szCs w:val="20"/>
          <w:lang w:val="es-CO"/>
        </w:rPr>
        <w:t>.</w:t>
      </w:r>
      <w:r>
        <w:rPr>
          <w:rFonts w:ascii="Verdana" w:hAnsi="Verdana"/>
          <w:spacing w:val="0"/>
          <w:sz w:val="20"/>
          <w:szCs w:val="20"/>
          <w:lang w:val="es-CO"/>
        </w:rPr>
        <w:t>41</w:t>
      </w:r>
      <w:r w:rsidR="00354DCE">
        <w:rPr>
          <w:rFonts w:ascii="Verdana" w:hAnsi="Verdana"/>
          <w:spacing w:val="0"/>
          <w:sz w:val="20"/>
          <w:szCs w:val="20"/>
          <w:lang w:val="es-CO"/>
        </w:rPr>
        <w:t xml:space="preserve">, </w:t>
      </w:r>
      <w:r w:rsidR="00007115" w:rsidRPr="00107B98">
        <w:rPr>
          <w:rFonts w:ascii="Verdana" w:hAnsi="Verdana"/>
          <w:spacing w:val="0"/>
          <w:sz w:val="20"/>
          <w:szCs w:val="20"/>
          <w:lang w:val="es-CO"/>
        </w:rPr>
        <w:t>en relación con los anexos.</w:t>
      </w:r>
    </w:p>
    <w:p w14:paraId="4014E8D0" w14:textId="77777777" w:rsidR="00107B98" w:rsidRDefault="00107B98" w:rsidP="00D557C1">
      <w:pPr>
        <w:pStyle w:val="Normal9pt"/>
        <w:numPr>
          <w:ilvl w:val="0"/>
          <w:numId w:val="0"/>
        </w:numPr>
        <w:rPr>
          <w:rFonts w:ascii="Verdana" w:hAnsi="Verdana"/>
          <w:sz w:val="20"/>
          <w:szCs w:val="20"/>
          <w:lang w:val="es-CO"/>
        </w:rPr>
      </w:pPr>
    </w:p>
    <w:sectPr w:rsidR="00107B98" w:rsidSect="006B33BA">
      <w:headerReference w:type="default" r:id="rId13"/>
      <w:footerReference w:type="default" r:id="rId14"/>
      <w:pgSz w:w="12242" w:h="18722" w:code="257"/>
      <w:pgMar w:top="1701" w:right="1418" w:bottom="1418" w:left="1701" w:header="567" w:footer="1418" w:gutter="0"/>
      <w:paperSrc w:first="2" w:other="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970BE" w14:textId="77777777" w:rsidR="00FE28CC" w:rsidRDefault="00FE28CC">
      <w:r>
        <w:separator/>
      </w:r>
    </w:p>
  </w:endnote>
  <w:endnote w:type="continuationSeparator" w:id="0">
    <w:p w14:paraId="50212023" w14:textId="77777777" w:rsidR="00FE28CC" w:rsidRDefault="00FE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sig w:usb0="E0002A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EF3B7" w14:textId="77777777" w:rsidR="00422E4E" w:rsidRDefault="00422E4E" w:rsidP="001A3E3E">
    <w:pPr>
      <w:pStyle w:val="Piedepgina"/>
      <w:rPr>
        <w:rStyle w:val="Nmerodepgina"/>
        <w:rFonts w:cs="Arial"/>
        <w:b/>
        <w:bCs/>
        <w:spacing w:val="0"/>
        <w:sz w:val="20"/>
        <w:szCs w:val="20"/>
        <w:lang w:val="pt-BR"/>
      </w:rPr>
    </w:pPr>
  </w:p>
  <w:p w14:paraId="0B18B6AF" w14:textId="77777777" w:rsidR="00422E4E" w:rsidRDefault="00422E4E" w:rsidP="001A3E3E">
    <w:pPr>
      <w:pStyle w:val="Piedepgina"/>
      <w:rPr>
        <w:rStyle w:val="Nmerodepgina"/>
        <w:rFonts w:cs="Arial"/>
        <w:b/>
        <w:bCs/>
        <w:spacing w:val="0"/>
        <w:sz w:val="20"/>
        <w:szCs w:val="20"/>
        <w:lang w:val="pt-BR"/>
      </w:rPr>
    </w:pPr>
  </w:p>
  <w:p w14:paraId="4E250D26" w14:textId="77777777" w:rsidR="00422E4E" w:rsidRPr="001A3E3E" w:rsidRDefault="00422E4E" w:rsidP="002814EA">
    <w:pPr>
      <w:pStyle w:val="Piedepgina"/>
      <w:rPr>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88E9D" w14:textId="77777777" w:rsidR="00FE28CC" w:rsidRDefault="00FE28CC">
      <w:r>
        <w:separator/>
      </w:r>
    </w:p>
  </w:footnote>
  <w:footnote w:type="continuationSeparator" w:id="0">
    <w:p w14:paraId="0AEEA81B" w14:textId="77777777" w:rsidR="00FE28CC" w:rsidRDefault="00FE2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D27" w14:textId="77777777" w:rsidR="00422E4E" w:rsidRDefault="00422E4E" w:rsidP="001A3E3E">
    <w:pPr>
      <w:pStyle w:val="Encabezado"/>
      <w:jc w:val="center"/>
      <w:rPr>
        <w:rFonts w:ascii="Arial (W1)" w:hAnsi="Arial (W1)"/>
        <w:b/>
        <w:spacing w:val="0"/>
        <w:sz w:val="24"/>
        <w:szCs w:val="24"/>
      </w:rPr>
    </w:pPr>
    <w:r>
      <w:rPr>
        <w:rFonts w:ascii="Arial (W1)" w:hAnsi="Arial (W1)"/>
        <w:b/>
        <w:spacing w:val="0"/>
        <w:sz w:val="24"/>
        <w:szCs w:val="24"/>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C65B6"/>
    <w:multiLevelType w:val="hybridMultilevel"/>
    <w:tmpl w:val="80B4DBC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0B47407"/>
    <w:multiLevelType w:val="hybridMultilevel"/>
    <w:tmpl w:val="03460102"/>
    <w:lvl w:ilvl="0" w:tplc="0C0A001B">
      <w:start w:val="1"/>
      <w:numFmt w:val="lowerRoman"/>
      <w:lvlText w:val="%1."/>
      <w:lvlJc w:val="right"/>
      <w:pPr>
        <w:ind w:left="1068" w:hanging="360"/>
      </w:pPr>
      <w:rPr>
        <w:rFonts w:cs="Times New Roman"/>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E055827"/>
    <w:multiLevelType w:val="hybridMultilevel"/>
    <w:tmpl w:val="8D5802B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209121D9"/>
    <w:multiLevelType w:val="hybridMultilevel"/>
    <w:tmpl w:val="54C09DA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D44376A"/>
    <w:multiLevelType w:val="hybridMultilevel"/>
    <w:tmpl w:val="C32C0F9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FA50E46"/>
    <w:multiLevelType w:val="hybridMultilevel"/>
    <w:tmpl w:val="69DCA3C8"/>
    <w:lvl w:ilvl="0" w:tplc="0C0A001B">
      <w:start w:val="1"/>
      <w:numFmt w:val="lowerRoman"/>
      <w:lvlText w:val="%1."/>
      <w:lvlJc w:val="right"/>
      <w:pPr>
        <w:ind w:left="1068" w:hanging="360"/>
      </w:pPr>
      <w:rPr>
        <w:rFonts w:cs="Times New Roman"/>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37045FFC"/>
    <w:multiLevelType w:val="hybridMultilevel"/>
    <w:tmpl w:val="110C3BA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695691"/>
    <w:multiLevelType w:val="hybridMultilevel"/>
    <w:tmpl w:val="37C4E0C4"/>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3E770A5E"/>
    <w:multiLevelType w:val="hybridMultilevel"/>
    <w:tmpl w:val="26D4FD0A"/>
    <w:lvl w:ilvl="0" w:tplc="0C0A001B">
      <w:start w:val="1"/>
      <w:numFmt w:val="lowerRoman"/>
      <w:lvlText w:val="%1."/>
      <w:lvlJc w:val="right"/>
      <w:pPr>
        <w:ind w:left="1068" w:hanging="360"/>
      </w:pPr>
      <w:rPr>
        <w:rFonts w:cs="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0" w15:restartNumberingAfterBreak="0">
    <w:nsid w:val="4C226F61"/>
    <w:multiLevelType w:val="hybridMultilevel"/>
    <w:tmpl w:val="00D09B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4BF5E2C"/>
    <w:multiLevelType w:val="hybridMultilevel"/>
    <w:tmpl w:val="0104344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FB93CEA"/>
    <w:multiLevelType w:val="hybridMultilevel"/>
    <w:tmpl w:val="9C4C879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1494662">
    <w:abstractNumId w:val="3"/>
  </w:num>
  <w:num w:numId="2" w16cid:durableId="219244585">
    <w:abstractNumId w:val="7"/>
  </w:num>
  <w:num w:numId="3" w16cid:durableId="215704430">
    <w:abstractNumId w:val="2"/>
  </w:num>
  <w:num w:numId="4" w16cid:durableId="1147669117">
    <w:abstractNumId w:val="8"/>
  </w:num>
  <w:num w:numId="5" w16cid:durableId="1104883072">
    <w:abstractNumId w:val="11"/>
  </w:num>
  <w:num w:numId="6" w16cid:durableId="1255431936">
    <w:abstractNumId w:val="12"/>
  </w:num>
  <w:num w:numId="7" w16cid:durableId="479736075">
    <w:abstractNumId w:val="4"/>
  </w:num>
  <w:num w:numId="8" w16cid:durableId="1149906507">
    <w:abstractNumId w:val="0"/>
  </w:num>
  <w:num w:numId="9" w16cid:durableId="845630630">
    <w:abstractNumId w:val="1"/>
  </w:num>
  <w:num w:numId="10" w16cid:durableId="559899256">
    <w:abstractNumId w:val="6"/>
  </w:num>
  <w:num w:numId="11" w16cid:durableId="1013607406">
    <w:abstractNumId w:val="9"/>
  </w:num>
  <w:num w:numId="12" w16cid:durableId="1454666908">
    <w:abstractNumId w:val="10"/>
  </w:num>
  <w:num w:numId="13" w16cid:durableId="10585607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5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68E2"/>
    <w:rsid w:val="00001F50"/>
    <w:rsid w:val="0000462C"/>
    <w:rsid w:val="00005A52"/>
    <w:rsid w:val="00007115"/>
    <w:rsid w:val="00010326"/>
    <w:rsid w:val="00017258"/>
    <w:rsid w:val="00017B56"/>
    <w:rsid w:val="00020A6E"/>
    <w:rsid w:val="0002128C"/>
    <w:rsid w:val="000266CF"/>
    <w:rsid w:val="00027CD9"/>
    <w:rsid w:val="00033ACC"/>
    <w:rsid w:val="00034FA6"/>
    <w:rsid w:val="000366D2"/>
    <w:rsid w:val="00040EB9"/>
    <w:rsid w:val="00041EBA"/>
    <w:rsid w:val="00042F99"/>
    <w:rsid w:val="000432EC"/>
    <w:rsid w:val="00044A2F"/>
    <w:rsid w:val="000450DA"/>
    <w:rsid w:val="000462BA"/>
    <w:rsid w:val="00046D93"/>
    <w:rsid w:val="00047063"/>
    <w:rsid w:val="00050382"/>
    <w:rsid w:val="000552D0"/>
    <w:rsid w:val="00055989"/>
    <w:rsid w:val="000567F1"/>
    <w:rsid w:val="00057B67"/>
    <w:rsid w:val="000629B1"/>
    <w:rsid w:val="00066D16"/>
    <w:rsid w:val="0007080D"/>
    <w:rsid w:val="00071687"/>
    <w:rsid w:val="0007734B"/>
    <w:rsid w:val="00080211"/>
    <w:rsid w:val="00083467"/>
    <w:rsid w:val="000874FE"/>
    <w:rsid w:val="00091CDB"/>
    <w:rsid w:val="0009330B"/>
    <w:rsid w:val="00093F6F"/>
    <w:rsid w:val="000947C6"/>
    <w:rsid w:val="00094C87"/>
    <w:rsid w:val="00096349"/>
    <w:rsid w:val="000966D1"/>
    <w:rsid w:val="0009740E"/>
    <w:rsid w:val="000979A4"/>
    <w:rsid w:val="00097B71"/>
    <w:rsid w:val="000A07BF"/>
    <w:rsid w:val="000A43F8"/>
    <w:rsid w:val="000A4BE2"/>
    <w:rsid w:val="000A55D6"/>
    <w:rsid w:val="000B15B1"/>
    <w:rsid w:val="000B4A6A"/>
    <w:rsid w:val="000C0056"/>
    <w:rsid w:val="000C1366"/>
    <w:rsid w:val="000C2DFF"/>
    <w:rsid w:val="000C5BBA"/>
    <w:rsid w:val="000D5DCB"/>
    <w:rsid w:val="000D7A7B"/>
    <w:rsid w:val="000E09C8"/>
    <w:rsid w:val="000E1B5C"/>
    <w:rsid w:val="000E5D48"/>
    <w:rsid w:val="000E7993"/>
    <w:rsid w:val="000F03D1"/>
    <w:rsid w:val="000F11E7"/>
    <w:rsid w:val="000F1DEA"/>
    <w:rsid w:val="000F1E2A"/>
    <w:rsid w:val="00101C35"/>
    <w:rsid w:val="00103AB2"/>
    <w:rsid w:val="0010690D"/>
    <w:rsid w:val="00107B98"/>
    <w:rsid w:val="00111CAB"/>
    <w:rsid w:val="001133F5"/>
    <w:rsid w:val="0011346D"/>
    <w:rsid w:val="00113902"/>
    <w:rsid w:val="00116982"/>
    <w:rsid w:val="00117669"/>
    <w:rsid w:val="00117B97"/>
    <w:rsid w:val="0012034B"/>
    <w:rsid w:val="00120808"/>
    <w:rsid w:val="00120F5C"/>
    <w:rsid w:val="00121116"/>
    <w:rsid w:val="00121251"/>
    <w:rsid w:val="00124647"/>
    <w:rsid w:val="001279D9"/>
    <w:rsid w:val="00131A14"/>
    <w:rsid w:val="00133A02"/>
    <w:rsid w:val="00134643"/>
    <w:rsid w:val="00142A81"/>
    <w:rsid w:val="00142E2B"/>
    <w:rsid w:val="0014595C"/>
    <w:rsid w:val="00151D1A"/>
    <w:rsid w:val="00155172"/>
    <w:rsid w:val="001605D6"/>
    <w:rsid w:val="001641EE"/>
    <w:rsid w:val="00164B4E"/>
    <w:rsid w:val="001659EB"/>
    <w:rsid w:val="001709FA"/>
    <w:rsid w:val="001727EA"/>
    <w:rsid w:val="0017352B"/>
    <w:rsid w:val="00182043"/>
    <w:rsid w:val="00182C04"/>
    <w:rsid w:val="00183CE8"/>
    <w:rsid w:val="00184559"/>
    <w:rsid w:val="0018745D"/>
    <w:rsid w:val="00192215"/>
    <w:rsid w:val="001975BB"/>
    <w:rsid w:val="001A2984"/>
    <w:rsid w:val="001A2997"/>
    <w:rsid w:val="001A2B7A"/>
    <w:rsid w:val="001A3D15"/>
    <w:rsid w:val="001A3E3E"/>
    <w:rsid w:val="001A6997"/>
    <w:rsid w:val="001B54D0"/>
    <w:rsid w:val="001C0149"/>
    <w:rsid w:val="001C02A5"/>
    <w:rsid w:val="001C0EB6"/>
    <w:rsid w:val="001C2898"/>
    <w:rsid w:val="001C6C5A"/>
    <w:rsid w:val="001C7B02"/>
    <w:rsid w:val="001D4A97"/>
    <w:rsid w:val="001D7625"/>
    <w:rsid w:val="001D7A1A"/>
    <w:rsid w:val="001E0510"/>
    <w:rsid w:val="001E27A7"/>
    <w:rsid w:val="001E2AA2"/>
    <w:rsid w:val="001E7453"/>
    <w:rsid w:val="001F0664"/>
    <w:rsid w:val="001F113B"/>
    <w:rsid w:val="001F2529"/>
    <w:rsid w:val="001F27A9"/>
    <w:rsid w:val="001F2A25"/>
    <w:rsid w:val="001F3415"/>
    <w:rsid w:val="001F680C"/>
    <w:rsid w:val="002007D7"/>
    <w:rsid w:val="00202003"/>
    <w:rsid w:val="00210031"/>
    <w:rsid w:val="00210D70"/>
    <w:rsid w:val="0021117C"/>
    <w:rsid w:val="00212E77"/>
    <w:rsid w:val="00215281"/>
    <w:rsid w:val="00215BD7"/>
    <w:rsid w:val="002177B7"/>
    <w:rsid w:val="00222168"/>
    <w:rsid w:val="00224D8B"/>
    <w:rsid w:val="00224E37"/>
    <w:rsid w:val="0022675D"/>
    <w:rsid w:val="00230620"/>
    <w:rsid w:val="0023559B"/>
    <w:rsid w:val="0023738E"/>
    <w:rsid w:val="00242EA4"/>
    <w:rsid w:val="0024427B"/>
    <w:rsid w:val="00250192"/>
    <w:rsid w:val="00253378"/>
    <w:rsid w:val="00256B8E"/>
    <w:rsid w:val="00256DA7"/>
    <w:rsid w:val="0026238F"/>
    <w:rsid w:val="002627C2"/>
    <w:rsid w:val="002628CC"/>
    <w:rsid w:val="00263916"/>
    <w:rsid w:val="002643A1"/>
    <w:rsid w:val="00264CB2"/>
    <w:rsid w:val="00265344"/>
    <w:rsid w:val="00265DDB"/>
    <w:rsid w:val="0026613F"/>
    <w:rsid w:val="002669C6"/>
    <w:rsid w:val="00266EF0"/>
    <w:rsid w:val="002707A5"/>
    <w:rsid w:val="00271BFB"/>
    <w:rsid w:val="0027788B"/>
    <w:rsid w:val="002814EA"/>
    <w:rsid w:val="0028168E"/>
    <w:rsid w:val="0028371F"/>
    <w:rsid w:val="00283AD6"/>
    <w:rsid w:val="00284BA7"/>
    <w:rsid w:val="00284BA9"/>
    <w:rsid w:val="00293003"/>
    <w:rsid w:val="0029410C"/>
    <w:rsid w:val="002949A7"/>
    <w:rsid w:val="002966BB"/>
    <w:rsid w:val="002A233F"/>
    <w:rsid w:val="002A271E"/>
    <w:rsid w:val="002A5BA6"/>
    <w:rsid w:val="002A7194"/>
    <w:rsid w:val="002B3922"/>
    <w:rsid w:val="002B3992"/>
    <w:rsid w:val="002B3B7B"/>
    <w:rsid w:val="002B667C"/>
    <w:rsid w:val="002B76A5"/>
    <w:rsid w:val="002B7E5A"/>
    <w:rsid w:val="002C1CD8"/>
    <w:rsid w:val="002C3253"/>
    <w:rsid w:val="002C54A2"/>
    <w:rsid w:val="002C5730"/>
    <w:rsid w:val="002C74F1"/>
    <w:rsid w:val="002D1557"/>
    <w:rsid w:val="002D187A"/>
    <w:rsid w:val="002D313A"/>
    <w:rsid w:val="002D3AF9"/>
    <w:rsid w:val="002D5694"/>
    <w:rsid w:val="002D5B65"/>
    <w:rsid w:val="002D6B0B"/>
    <w:rsid w:val="002D7160"/>
    <w:rsid w:val="002E6354"/>
    <w:rsid w:val="002E7A2F"/>
    <w:rsid w:val="002E7F1F"/>
    <w:rsid w:val="002F684C"/>
    <w:rsid w:val="002F7F59"/>
    <w:rsid w:val="00301851"/>
    <w:rsid w:val="00301C65"/>
    <w:rsid w:val="00302166"/>
    <w:rsid w:val="00302C37"/>
    <w:rsid w:val="003032F5"/>
    <w:rsid w:val="00304797"/>
    <w:rsid w:val="0030712F"/>
    <w:rsid w:val="003101FA"/>
    <w:rsid w:val="00313B44"/>
    <w:rsid w:val="00313C52"/>
    <w:rsid w:val="00314BC9"/>
    <w:rsid w:val="00314D67"/>
    <w:rsid w:val="00317868"/>
    <w:rsid w:val="0032009F"/>
    <w:rsid w:val="00321139"/>
    <w:rsid w:val="0032617C"/>
    <w:rsid w:val="00327D94"/>
    <w:rsid w:val="00327FDC"/>
    <w:rsid w:val="0033367D"/>
    <w:rsid w:val="003340F0"/>
    <w:rsid w:val="003347FE"/>
    <w:rsid w:val="00336DE1"/>
    <w:rsid w:val="00340FFE"/>
    <w:rsid w:val="00343598"/>
    <w:rsid w:val="003479C5"/>
    <w:rsid w:val="00351E7F"/>
    <w:rsid w:val="00352772"/>
    <w:rsid w:val="00353E26"/>
    <w:rsid w:val="00354237"/>
    <w:rsid w:val="00354DCE"/>
    <w:rsid w:val="00360539"/>
    <w:rsid w:val="0036097F"/>
    <w:rsid w:val="0036444D"/>
    <w:rsid w:val="003661B1"/>
    <w:rsid w:val="00367F02"/>
    <w:rsid w:val="00382698"/>
    <w:rsid w:val="003830D3"/>
    <w:rsid w:val="00385999"/>
    <w:rsid w:val="00393CA5"/>
    <w:rsid w:val="0039410A"/>
    <w:rsid w:val="00394CC9"/>
    <w:rsid w:val="003961A1"/>
    <w:rsid w:val="00396723"/>
    <w:rsid w:val="003A075E"/>
    <w:rsid w:val="003A4B71"/>
    <w:rsid w:val="003A70E8"/>
    <w:rsid w:val="003B31F4"/>
    <w:rsid w:val="003C1479"/>
    <w:rsid w:val="003C57F0"/>
    <w:rsid w:val="003C7788"/>
    <w:rsid w:val="003C784E"/>
    <w:rsid w:val="003D2A9B"/>
    <w:rsid w:val="003E097F"/>
    <w:rsid w:val="003E3BE2"/>
    <w:rsid w:val="003E5191"/>
    <w:rsid w:val="003E6EE3"/>
    <w:rsid w:val="003F0687"/>
    <w:rsid w:val="003F22B9"/>
    <w:rsid w:val="003F3650"/>
    <w:rsid w:val="003F6B5C"/>
    <w:rsid w:val="00404DBF"/>
    <w:rsid w:val="00411B94"/>
    <w:rsid w:val="00412D6F"/>
    <w:rsid w:val="004133CF"/>
    <w:rsid w:val="004174D2"/>
    <w:rsid w:val="00417815"/>
    <w:rsid w:val="00420FCA"/>
    <w:rsid w:val="00422E4E"/>
    <w:rsid w:val="00423BA0"/>
    <w:rsid w:val="00426346"/>
    <w:rsid w:val="00426632"/>
    <w:rsid w:val="00426E59"/>
    <w:rsid w:val="00427954"/>
    <w:rsid w:val="004356DA"/>
    <w:rsid w:val="00436C60"/>
    <w:rsid w:val="00437167"/>
    <w:rsid w:val="00437D64"/>
    <w:rsid w:val="00437D91"/>
    <w:rsid w:val="00437FF3"/>
    <w:rsid w:val="00443355"/>
    <w:rsid w:val="0044372E"/>
    <w:rsid w:val="00443E3E"/>
    <w:rsid w:val="004443A4"/>
    <w:rsid w:val="004454D7"/>
    <w:rsid w:val="00451E64"/>
    <w:rsid w:val="00452D6A"/>
    <w:rsid w:val="004531B6"/>
    <w:rsid w:val="00453967"/>
    <w:rsid w:val="00454D5A"/>
    <w:rsid w:val="00457258"/>
    <w:rsid w:val="00465577"/>
    <w:rsid w:val="004657A4"/>
    <w:rsid w:val="0047053A"/>
    <w:rsid w:val="00470A9A"/>
    <w:rsid w:val="0047232F"/>
    <w:rsid w:val="0047398D"/>
    <w:rsid w:val="00476030"/>
    <w:rsid w:val="00476201"/>
    <w:rsid w:val="00476802"/>
    <w:rsid w:val="00477FDF"/>
    <w:rsid w:val="00481ABB"/>
    <w:rsid w:val="00484B0F"/>
    <w:rsid w:val="00485521"/>
    <w:rsid w:val="004929F7"/>
    <w:rsid w:val="00492ECC"/>
    <w:rsid w:val="004978C5"/>
    <w:rsid w:val="00497DBB"/>
    <w:rsid w:val="00497F97"/>
    <w:rsid w:val="004A2832"/>
    <w:rsid w:val="004A40F7"/>
    <w:rsid w:val="004A68C7"/>
    <w:rsid w:val="004A6FED"/>
    <w:rsid w:val="004A7004"/>
    <w:rsid w:val="004B0BB6"/>
    <w:rsid w:val="004B2BA1"/>
    <w:rsid w:val="004B30FC"/>
    <w:rsid w:val="004B498B"/>
    <w:rsid w:val="004B6835"/>
    <w:rsid w:val="004C10F0"/>
    <w:rsid w:val="004C2CF9"/>
    <w:rsid w:val="004C37FE"/>
    <w:rsid w:val="004C78F1"/>
    <w:rsid w:val="004D0C37"/>
    <w:rsid w:val="004D5757"/>
    <w:rsid w:val="004D7780"/>
    <w:rsid w:val="004E18CD"/>
    <w:rsid w:val="004E2FE9"/>
    <w:rsid w:val="004E3CCD"/>
    <w:rsid w:val="004E64E9"/>
    <w:rsid w:val="004F01EE"/>
    <w:rsid w:val="004F1A7B"/>
    <w:rsid w:val="004F2693"/>
    <w:rsid w:val="004F3720"/>
    <w:rsid w:val="004F4682"/>
    <w:rsid w:val="004F7296"/>
    <w:rsid w:val="0050233B"/>
    <w:rsid w:val="00502347"/>
    <w:rsid w:val="00507AEC"/>
    <w:rsid w:val="005153CF"/>
    <w:rsid w:val="0051565D"/>
    <w:rsid w:val="00515A54"/>
    <w:rsid w:val="00516AD7"/>
    <w:rsid w:val="005172C0"/>
    <w:rsid w:val="00520E1A"/>
    <w:rsid w:val="005301A9"/>
    <w:rsid w:val="0053076B"/>
    <w:rsid w:val="00533014"/>
    <w:rsid w:val="0053715C"/>
    <w:rsid w:val="0054116B"/>
    <w:rsid w:val="00542F1A"/>
    <w:rsid w:val="00543F91"/>
    <w:rsid w:val="00545A1A"/>
    <w:rsid w:val="005462B8"/>
    <w:rsid w:val="00546D0D"/>
    <w:rsid w:val="005504BA"/>
    <w:rsid w:val="00552C5F"/>
    <w:rsid w:val="00556F7D"/>
    <w:rsid w:val="005571FB"/>
    <w:rsid w:val="0056059C"/>
    <w:rsid w:val="00561439"/>
    <w:rsid w:val="00562287"/>
    <w:rsid w:val="005628C2"/>
    <w:rsid w:val="005632E9"/>
    <w:rsid w:val="00563940"/>
    <w:rsid w:val="0056562F"/>
    <w:rsid w:val="00565721"/>
    <w:rsid w:val="00566EBE"/>
    <w:rsid w:val="0057199B"/>
    <w:rsid w:val="005728C9"/>
    <w:rsid w:val="0057324D"/>
    <w:rsid w:val="00574CA9"/>
    <w:rsid w:val="00577546"/>
    <w:rsid w:val="005776A1"/>
    <w:rsid w:val="00580BC9"/>
    <w:rsid w:val="005816A9"/>
    <w:rsid w:val="005817F9"/>
    <w:rsid w:val="0058795A"/>
    <w:rsid w:val="00591992"/>
    <w:rsid w:val="00592FEB"/>
    <w:rsid w:val="00595B0A"/>
    <w:rsid w:val="00596DC1"/>
    <w:rsid w:val="00597721"/>
    <w:rsid w:val="005A3E35"/>
    <w:rsid w:val="005A5199"/>
    <w:rsid w:val="005B2D81"/>
    <w:rsid w:val="005B4AB8"/>
    <w:rsid w:val="005B4FC9"/>
    <w:rsid w:val="005B5CBF"/>
    <w:rsid w:val="005C316E"/>
    <w:rsid w:val="005C47CD"/>
    <w:rsid w:val="005C4D63"/>
    <w:rsid w:val="005C5E83"/>
    <w:rsid w:val="005C605A"/>
    <w:rsid w:val="005C607F"/>
    <w:rsid w:val="005C75A8"/>
    <w:rsid w:val="005D2443"/>
    <w:rsid w:val="005D3B5B"/>
    <w:rsid w:val="005D68EF"/>
    <w:rsid w:val="005E18E3"/>
    <w:rsid w:val="005E2936"/>
    <w:rsid w:val="005E415C"/>
    <w:rsid w:val="005E57A1"/>
    <w:rsid w:val="005E75EF"/>
    <w:rsid w:val="005E77F6"/>
    <w:rsid w:val="005F004C"/>
    <w:rsid w:val="005F0FA1"/>
    <w:rsid w:val="005F1BFA"/>
    <w:rsid w:val="005F25EC"/>
    <w:rsid w:val="005F38B7"/>
    <w:rsid w:val="005F4724"/>
    <w:rsid w:val="005F47B4"/>
    <w:rsid w:val="006004F8"/>
    <w:rsid w:val="00604095"/>
    <w:rsid w:val="00606FD7"/>
    <w:rsid w:val="006232F2"/>
    <w:rsid w:val="006258AB"/>
    <w:rsid w:val="00630104"/>
    <w:rsid w:val="006325D0"/>
    <w:rsid w:val="00633958"/>
    <w:rsid w:val="0064051B"/>
    <w:rsid w:val="00640640"/>
    <w:rsid w:val="0064276E"/>
    <w:rsid w:val="006428D3"/>
    <w:rsid w:val="00642D3A"/>
    <w:rsid w:val="00643914"/>
    <w:rsid w:val="00644570"/>
    <w:rsid w:val="0064574D"/>
    <w:rsid w:val="00650810"/>
    <w:rsid w:val="006522A8"/>
    <w:rsid w:val="00652ADD"/>
    <w:rsid w:val="00654498"/>
    <w:rsid w:val="00661B6D"/>
    <w:rsid w:val="00664FC9"/>
    <w:rsid w:val="00665893"/>
    <w:rsid w:val="00672750"/>
    <w:rsid w:val="0067370D"/>
    <w:rsid w:val="00673ABC"/>
    <w:rsid w:val="00673BA9"/>
    <w:rsid w:val="00674523"/>
    <w:rsid w:val="006810B0"/>
    <w:rsid w:val="006812C1"/>
    <w:rsid w:val="00681370"/>
    <w:rsid w:val="00682275"/>
    <w:rsid w:val="00684009"/>
    <w:rsid w:val="00685CD2"/>
    <w:rsid w:val="006871E6"/>
    <w:rsid w:val="0068790C"/>
    <w:rsid w:val="006921D5"/>
    <w:rsid w:val="006937CA"/>
    <w:rsid w:val="006944E5"/>
    <w:rsid w:val="00694C49"/>
    <w:rsid w:val="00695D5C"/>
    <w:rsid w:val="006961AA"/>
    <w:rsid w:val="006A1225"/>
    <w:rsid w:val="006A6028"/>
    <w:rsid w:val="006B0D02"/>
    <w:rsid w:val="006B33BA"/>
    <w:rsid w:val="006B36C6"/>
    <w:rsid w:val="006B6093"/>
    <w:rsid w:val="006B6171"/>
    <w:rsid w:val="006C1A67"/>
    <w:rsid w:val="006C33DD"/>
    <w:rsid w:val="006C3647"/>
    <w:rsid w:val="006C3B03"/>
    <w:rsid w:val="006C4729"/>
    <w:rsid w:val="006C561E"/>
    <w:rsid w:val="006C5EC5"/>
    <w:rsid w:val="006C7ACA"/>
    <w:rsid w:val="006D0711"/>
    <w:rsid w:val="006D0BDB"/>
    <w:rsid w:val="006D13FB"/>
    <w:rsid w:val="006D3A31"/>
    <w:rsid w:val="006D6733"/>
    <w:rsid w:val="006D7A94"/>
    <w:rsid w:val="006E61C9"/>
    <w:rsid w:val="006E7601"/>
    <w:rsid w:val="006E7607"/>
    <w:rsid w:val="006E7CC0"/>
    <w:rsid w:val="006F1966"/>
    <w:rsid w:val="006F2B35"/>
    <w:rsid w:val="006F3648"/>
    <w:rsid w:val="006F3BF4"/>
    <w:rsid w:val="006F5619"/>
    <w:rsid w:val="006F78AC"/>
    <w:rsid w:val="00700FFC"/>
    <w:rsid w:val="007015C7"/>
    <w:rsid w:val="0070244A"/>
    <w:rsid w:val="00702A2B"/>
    <w:rsid w:val="00703A8D"/>
    <w:rsid w:val="0070407C"/>
    <w:rsid w:val="007148C7"/>
    <w:rsid w:val="00714C14"/>
    <w:rsid w:val="007171EB"/>
    <w:rsid w:val="00720062"/>
    <w:rsid w:val="0072272F"/>
    <w:rsid w:val="00722BE3"/>
    <w:rsid w:val="00722FCE"/>
    <w:rsid w:val="00725EFE"/>
    <w:rsid w:val="0072600F"/>
    <w:rsid w:val="0072650B"/>
    <w:rsid w:val="007314B1"/>
    <w:rsid w:val="00731A8A"/>
    <w:rsid w:val="00733B35"/>
    <w:rsid w:val="007362DF"/>
    <w:rsid w:val="007413A8"/>
    <w:rsid w:val="00741A70"/>
    <w:rsid w:val="007426E4"/>
    <w:rsid w:val="007428C5"/>
    <w:rsid w:val="007431F7"/>
    <w:rsid w:val="00746C29"/>
    <w:rsid w:val="00747F8A"/>
    <w:rsid w:val="007502FB"/>
    <w:rsid w:val="00750898"/>
    <w:rsid w:val="00751DC0"/>
    <w:rsid w:val="00753578"/>
    <w:rsid w:val="00754658"/>
    <w:rsid w:val="00755B37"/>
    <w:rsid w:val="00755F5F"/>
    <w:rsid w:val="00760FA6"/>
    <w:rsid w:val="007632BD"/>
    <w:rsid w:val="00763D79"/>
    <w:rsid w:val="00766265"/>
    <w:rsid w:val="00766F34"/>
    <w:rsid w:val="007722F2"/>
    <w:rsid w:val="00773D02"/>
    <w:rsid w:val="007763E0"/>
    <w:rsid w:val="00777143"/>
    <w:rsid w:val="0078064E"/>
    <w:rsid w:val="00786AF5"/>
    <w:rsid w:val="00790AC4"/>
    <w:rsid w:val="00791AEA"/>
    <w:rsid w:val="00792527"/>
    <w:rsid w:val="00797BB4"/>
    <w:rsid w:val="007A083B"/>
    <w:rsid w:val="007A1355"/>
    <w:rsid w:val="007A1A5E"/>
    <w:rsid w:val="007A260D"/>
    <w:rsid w:val="007A2DC5"/>
    <w:rsid w:val="007A4BEC"/>
    <w:rsid w:val="007A5E65"/>
    <w:rsid w:val="007A6905"/>
    <w:rsid w:val="007B22D6"/>
    <w:rsid w:val="007C56A4"/>
    <w:rsid w:val="007C575F"/>
    <w:rsid w:val="007C7853"/>
    <w:rsid w:val="007D0DF7"/>
    <w:rsid w:val="007D5404"/>
    <w:rsid w:val="007E0425"/>
    <w:rsid w:val="007E2D19"/>
    <w:rsid w:val="007E463B"/>
    <w:rsid w:val="007F1F8B"/>
    <w:rsid w:val="007F36E4"/>
    <w:rsid w:val="008015F0"/>
    <w:rsid w:val="0080340E"/>
    <w:rsid w:val="0080348C"/>
    <w:rsid w:val="00805C02"/>
    <w:rsid w:val="00806054"/>
    <w:rsid w:val="00806A00"/>
    <w:rsid w:val="00806E63"/>
    <w:rsid w:val="00811D51"/>
    <w:rsid w:val="00812E8E"/>
    <w:rsid w:val="00814FBC"/>
    <w:rsid w:val="008166E5"/>
    <w:rsid w:val="008252FB"/>
    <w:rsid w:val="008260B6"/>
    <w:rsid w:val="008274B4"/>
    <w:rsid w:val="008278F2"/>
    <w:rsid w:val="00832047"/>
    <w:rsid w:val="0083205E"/>
    <w:rsid w:val="00832B31"/>
    <w:rsid w:val="008330CC"/>
    <w:rsid w:val="00833427"/>
    <w:rsid w:val="00835810"/>
    <w:rsid w:val="00836DE5"/>
    <w:rsid w:val="00842072"/>
    <w:rsid w:val="00843B40"/>
    <w:rsid w:val="0084423B"/>
    <w:rsid w:val="00844629"/>
    <w:rsid w:val="00847F92"/>
    <w:rsid w:val="00850332"/>
    <w:rsid w:val="00850425"/>
    <w:rsid w:val="00856883"/>
    <w:rsid w:val="008575C9"/>
    <w:rsid w:val="00860F86"/>
    <w:rsid w:val="00863C19"/>
    <w:rsid w:val="00863C5E"/>
    <w:rsid w:val="0086590E"/>
    <w:rsid w:val="00866542"/>
    <w:rsid w:val="00870B06"/>
    <w:rsid w:val="00873FBD"/>
    <w:rsid w:val="008769BA"/>
    <w:rsid w:val="00880708"/>
    <w:rsid w:val="00881AC8"/>
    <w:rsid w:val="00882583"/>
    <w:rsid w:val="0088292A"/>
    <w:rsid w:val="00884D8C"/>
    <w:rsid w:val="00885E83"/>
    <w:rsid w:val="00887123"/>
    <w:rsid w:val="0089163F"/>
    <w:rsid w:val="00892498"/>
    <w:rsid w:val="008949B9"/>
    <w:rsid w:val="008A1653"/>
    <w:rsid w:val="008A3107"/>
    <w:rsid w:val="008A68C9"/>
    <w:rsid w:val="008A6DBB"/>
    <w:rsid w:val="008B5043"/>
    <w:rsid w:val="008B6800"/>
    <w:rsid w:val="008B6F26"/>
    <w:rsid w:val="008B7EF6"/>
    <w:rsid w:val="008C3CFF"/>
    <w:rsid w:val="008C6747"/>
    <w:rsid w:val="008C67C2"/>
    <w:rsid w:val="008C722C"/>
    <w:rsid w:val="008D31A0"/>
    <w:rsid w:val="008D607C"/>
    <w:rsid w:val="008E03F7"/>
    <w:rsid w:val="008E4669"/>
    <w:rsid w:val="008E6A31"/>
    <w:rsid w:val="008E6C8C"/>
    <w:rsid w:val="008F430A"/>
    <w:rsid w:val="008F7C72"/>
    <w:rsid w:val="0090061F"/>
    <w:rsid w:val="00901465"/>
    <w:rsid w:val="00906D73"/>
    <w:rsid w:val="009112A3"/>
    <w:rsid w:val="00922715"/>
    <w:rsid w:val="00923DB8"/>
    <w:rsid w:val="00925E48"/>
    <w:rsid w:val="009322CF"/>
    <w:rsid w:val="00933FE6"/>
    <w:rsid w:val="0093646D"/>
    <w:rsid w:val="00936832"/>
    <w:rsid w:val="00936B21"/>
    <w:rsid w:val="00937399"/>
    <w:rsid w:val="009377D3"/>
    <w:rsid w:val="00940575"/>
    <w:rsid w:val="00944CBB"/>
    <w:rsid w:val="00946C76"/>
    <w:rsid w:val="00946F27"/>
    <w:rsid w:val="0094759F"/>
    <w:rsid w:val="00950988"/>
    <w:rsid w:val="00953272"/>
    <w:rsid w:val="00953A58"/>
    <w:rsid w:val="0095489A"/>
    <w:rsid w:val="00960076"/>
    <w:rsid w:val="00965258"/>
    <w:rsid w:val="00967CCB"/>
    <w:rsid w:val="00970F43"/>
    <w:rsid w:val="00971318"/>
    <w:rsid w:val="00973C3C"/>
    <w:rsid w:val="00974248"/>
    <w:rsid w:val="00976435"/>
    <w:rsid w:val="00976AAE"/>
    <w:rsid w:val="00983185"/>
    <w:rsid w:val="00983826"/>
    <w:rsid w:val="00984EEC"/>
    <w:rsid w:val="009871D6"/>
    <w:rsid w:val="0099402D"/>
    <w:rsid w:val="00995443"/>
    <w:rsid w:val="009A04B3"/>
    <w:rsid w:val="009A0B04"/>
    <w:rsid w:val="009A2E66"/>
    <w:rsid w:val="009A3399"/>
    <w:rsid w:val="009C2343"/>
    <w:rsid w:val="009D172F"/>
    <w:rsid w:val="009D64F2"/>
    <w:rsid w:val="009E0965"/>
    <w:rsid w:val="009E179B"/>
    <w:rsid w:val="009E2EC3"/>
    <w:rsid w:val="009E68E2"/>
    <w:rsid w:val="00A00479"/>
    <w:rsid w:val="00A06FAB"/>
    <w:rsid w:val="00A0751D"/>
    <w:rsid w:val="00A101B4"/>
    <w:rsid w:val="00A128C2"/>
    <w:rsid w:val="00A1455B"/>
    <w:rsid w:val="00A14FD4"/>
    <w:rsid w:val="00A1705B"/>
    <w:rsid w:val="00A17CB3"/>
    <w:rsid w:val="00A211D7"/>
    <w:rsid w:val="00A22189"/>
    <w:rsid w:val="00A22625"/>
    <w:rsid w:val="00A2289D"/>
    <w:rsid w:val="00A311C2"/>
    <w:rsid w:val="00A3255F"/>
    <w:rsid w:val="00A340E1"/>
    <w:rsid w:val="00A35326"/>
    <w:rsid w:val="00A4111A"/>
    <w:rsid w:val="00A42CEC"/>
    <w:rsid w:val="00A43196"/>
    <w:rsid w:val="00A47FF2"/>
    <w:rsid w:val="00A503D5"/>
    <w:rsid w:val="00A51F1E"/>
    <w:rsid w:val="00A560A7"/>
    <w:rsid w:val="00A56A7B"/>
    <w:rsid w:val="00A603F6"/>
    <w:rsid w:val="00A632BB"/>
    <w:rsid w:val="00A6600C"/>
    <w:rsid w:val="00A76BE0"/>
    <w:rsid w:val="00A81469"/>
    <w:rsid w:val="00A8326F"/>
    <w:rsid w:val="00A9099C"/>
    <w:rsid w:val="00A94803"/>
    <w:rsid w:val="00AA1182"/>
    <w:rsid w:val="00AA1918"/>
    <w:rsid w:val="00AA2493"/>
    <w:rsid w:val="00AA5A14"/>
    <w:rsid w:val="00AB5C89"/>
    <w:rsid w:val="00AC113C"/>
    <w:rsid w:val="00AC1A2B"/>
    <w:rsid w:val="00AC1EA2"/>
    <w:rsid w:val="00AC2DC2"/>
    <w:rsid w:val="00AC4514"/>
    <w:rsid w:val="00AC543C"/>
    <w:rsid w:val="00AC6A68"/>
    <w:rsid w:val="00AC76B4"/>
    <w:rsid w:val="00AD152F"/>
    <w:rsid w:val="00AD4456"/>
    <w:rsid w:val="00AD5683"/>
    <w:rsid w:val="00AD5D9B"/>
    <w:rsid w:val="00AE1568"/>
    <w:rsid w:val="00AE6961"/>
    <w:rsid w:val="00AE715E"/>
    <w:rsid w:val="00AE7F97"/>
    <w:rsid w:val="00AF51D3"/>
    <w:rsid w:val="00AF58AC"/>
    <w:rsid w:val="00B00E1E"/>
    <w:rsid w:val="00B01946"/>
    <w:rsid w:val="00B03627"/>
    <w:rsid w:val="00B04294"/>
    <w:rsid w:val="00B1297A"/>
    <w:rsid w:val="00B1425D"/>
    <w:rsid w:val="00B17512"/>
    <w:rsid w:val="00B24171"/>
    <w:rsid w:val="00B247FE"/>
    <w:rsid w:val="00B26FD8"/>
    <w:rsid w:val="00B308EE"/>
    <w:rsid w:val="00B30AD4"/>
    <w:rsid w:val="00B30C95"/>
    <w:rsid w:val="00B34D2B"/>
    <w:rsid w:val="00B3751C"/>
    <w:rsid w:val="00B4028A"/>
    <w:rsid w:val="00B41D8B"/>
    <w:rsid w:val="00B44694"/>
    <w:rsid w:val="00B47021"/>
    <w:rsid w:val="00B5168D"/>
    <w:rsid w:val="00B53E45"/>
    <w:rsid w:val="00B55328"/>
    <w:rsid w:val="00B56954"/>
    <w:rsid w:val="00B63245"/>
    <w:rsid w:val="00B641D2"/>
    <w:rsid w:val="00B65C5B"/>
    <w:rsid w:val="00B670A5"/>
    <w:rsid w:val="00B6715E"/>
    <w:rsid w:val="00B67472"/>
    <w:rsid w:val="00B67E46"/>
    <w:rsid w:val="00B67E93"/>
    <w:rsid w:val="00B70CF0"/>
    <w:rsid w:val="00B726C7"/>
    <w:rsid w:val="00B74C46"/>
    <w:rsid w:val="00B77345"/>
    <w:rsid w:val="00B8036C"/>
    <w:rsid w:val="00B81ADC"/>
    <w:rsid w:val="00B81B22"/>
    <w:rsid w:val="00B836B0"/>
    <w:rsid w:val="00B83C51"/>
    <w:rsid w:val="00B92356"/>
    <w:rsid w:val="00B92F3C"/>
    <w:rsid w:val="00BA0459"/>
    <w:rsid w:val="00BA6243"/>
    <w:rsid w:val="00BA66A0"/>
    <w:rsid w:val="00BB16A9"/>
    <w:rsid w:val="00BB6C08"/>
    <w:rsid w:val="00BC2C6E"/>
    <w:rsid w:val="00BC3C63"/>
    <w:rsid w:val="00BC42B6"/>
    <w:rsid w:val="00BC4505"/>
    <w:rsid w:val="00BD21F0"/>
    <w:rsid w:val="00BD24A9"/>
    <w:rsid w:val="00BD3E56"/>
    <w:rsid w:val="00BD7C7C"/>
    <w:rsid w:val="00BE12BB"/>
    <w:rsid w:val="00BE1F58"/>
    <w:rsid w:val="00BE28F9"/>
    <w:rsid w:val="00BE3197"/>
    <w:rsid w:val="00BE574A"/>
    <w:rsid w:val="00BE5962"/>
    <w:rsid w:val="00BE5EB6"/>
    <w:rsid w:val="00BE7CEE"/>
    <w:rsid w:val="00BF5F5A"/>
    <w:rsid w:val="00C05B54"/>
    <w:rsid w:val="00C0602C"/>
    <w:rsid w:val="00C06AD8"/>
    <w:rsid w:val="00C06B62"/>
    <w:rsid w:val="00C123B7"/>
    <w:rsid w:val="00C12530"/>
    <w:rsid w:val="00C131D4"/>
    <w:rsid w:val="00C14B5F"/>
    <w:rsid w:val="00C1550E"/>
    <w:rsid w:val="00C15600"/>
    <w:rsid w:val="00C178F8"/>
    <w:rsid w:val="00C2207E"/>
    <w:rsid w:val="00C22E39"/>
    <w:rsid w:val="00C274D8"/>
    <w:rsid w:val="00C314F0"/>
    <w:rsid w:val="00C31FEB"/>
    <w:rsid w:val="00C32217"/>
    <w:rsid w:val="00C32592"/>
    <w:rsid w:val="00C3338B"/>
    <w:rsid w:val="00C349ED"/>
    <w:rsid w:val="00C34FAE"/>
    <w:rsid w:val="00C36B36"/>
    <w:rsid w:val="00C40A87"/>
    <w:rsid w:val="00C43B25"/>
    <w:rsid w:val="00C4576E"/>
    <w:rsid w:val="00C459BF"/>
    <w:rsid w:val="00C50BB0"/>
    <w:rsid w:val="00C53835"/>
    <w:rsid w:val="00C5405B"/>
    <w:rsid w:val="00C552CA"/>
    <w:rsid w:val="00C55906"/>
    <w:rsid w:val="00C56EA9"/>
    <w:rsid w:val="00C577AD"/>
    <w:rsid w:val="00C601D5"/>
    <w:rsid w:val="00C61BC2"/>
    <w:rsid w:val="00C6392C"/>
    <w:rsid w:val="00C63EA9"/>
    <w:rsid w:val="00C66F43"/>
    <w:rsid w:val="00C7175A"/>
    <w:rsid w:val="00C71BF9"/>
    <w:rsid w:val="00C77073"/>
    <w:rsid w:val="00C77912"/>
    <w:rsid w:val="00C81BDF"/>
    <w:rsid w:val="00C826C3"/>
    <w:rsid w:val="00C84E38"/>
    <w:rsid w:val="00C9202B"/>
    <w:rsid w:val="00CA1938"/>
    <w:rsid w:val="00CA1A50"/>
    <w:rsid w:val="00CA3359"/>
    <w:rsid w:val="00CA39EC"/>
    <w:rsid w:val="00CA51EE"/>
    <w:rsid w:val="00CA5E1D"/>
    <w:rsid w:val="00CA6F9D"/>
    <w:rsid w:val="00CB0AFE"/>
    <w:rsid w:val="00CB24C9"/>
    <w:rsid w:val="00CB2A50"/>
    <w:rsid w:val="00CB41A1"/>
    <w:rsid w:val="00CB53C3"/>
    <w:rsid w:val="00CB6AEA"/>
    <w:rsid w:val="00CB7E0F"/>
    <w:rsid w:val="00CC16F6"/>
    <w:rsid w:val="00CC677F"/>
    <w:rsid w:val="00CC6980"/>
    <w:rsid w:val="00CC74B3"/>
    <w:rsid w:val="00CD01DC"/>
    <w:rsid w:val="00CD1E7F"/>
    <w:rsid w:val="00CD3E37"/>
    <w:rsid w:val="00CD56B6"/>
    <w:rsid w:val="00CD5F0F"/>
    <w:rsid w:val="00CE027E"/>
    <w:rsid w:val="00CE4035"/>
    <w:rsid w:val="00CE6EA4"/>
    <w:rsid w:val="00CE7E38"/>
    <w:rsid w:val="00CF0859"/>
    <w:rsid w:val="00CF24E1"/>
    <w:rsid w:val="00CF2FBA"/>
    <w:rsid w:val="00CF604C"/>
    <w:rsid w:val="00CF6F02"/>
    <w:rsid w:val="00D00005"/>
    <w:rsid w:val="00D00448"/>
    <w:rsid w:val="00D069C2"/>
    <w:rsid w:val="00D10485"/>
    <w:rsid w:val="00D11DB1"/>
    <w:rsid w:val="00D128B9"/>
    <w:rsid w:val="00D1360C"/>
    <w:rsid w:val="00D13AC0"/>
    <w:rsid w:val="00D158FE"/>
    <w:rsid w:val="00D15CCC"/>
    <w:rsid w:val="00D209E4"/>
    <w:rsid w:val="00D20D4E"/>
    <w:rsid w:val="00D22768"/>
    <w:rsid w:val="00D25061"/>
    <w:rsid w:val="00D27E13"/>
    <w:rsid w:val="00D30CC2"/>
    <w:rsid w:val="00D32F35"/>
    <w:rsid w:val="00D35189"/>
    <w:rsid w:val="00D35812"/>
    <w:rsid w:val="00D3592D"/>
    <w:rsid w:val="00D425BB"/>
    <w:rsid w:val="00D43FE3"/>
    <w:rsid w:val="00D45522"/>
    <w:rsid w:val="00D51840"/>
    <w:rsid w:val="00D524EB"/>
    <w:rsid w:val="00D526FC"/>
    <w:rsid w:val="00D534C9"/>
    <w:rsid w:val="00D54C84"/>
    <w:rsid w:val="00D557C1"/>
    <w:rsid w:val="00D565EF"/>
    <w:rsid w:val="00D56C41"/>
    <w:rsid w:val="00D61BCD"/>
    <w:rsid w:val="00D64C84"/>
    <w:rsid w:val="00D65E1B"/>
    <w:rsid w:val="00D660CB"/>
    <w:rsid w:val="00D709C0"/>
    <w:rsid w:val="00D726F8"/>
    <w:rsid w:val="00D730C0"/>
    <w:rsid w:val="00D736B3"/>
    <w:rsid w:val="00D749B4"/>
    <w:rsid w:val="00D81C9B"/>
    <w:rsid w:val="00D8201C"/>
    <w:rsid w:val="00D83B9F"/>
    <w:rsid w:val="00D874A2"/>
    <w:rsid w:val="00D931AC"/>
    <w:rsid w:val="00D94FB4"/>
    <w:rsid w:val="00DA0C98"/>
    <w:rsid w:val="00DA2131"/>
    <w:rsid w:val="00DA398F"/>
    <w:rsid w:val="00DA4430"/>
    <w:rsid w:val="00DA5225"/>
    <w:rsid w:val="00DB172F"/>
    <w:rsid w:val="00DB5737"/>
    <w:rsid w:val="00DB5F3C"/>
    <w:rsid w:val="00DB6A88"/>
    <w:rsid w:val="00DB704B"/>
    <w:rsid w:val="00DC0201"/>
    <w:rsid w:val="00DC416F"/>
    <w:rsid w:val="00DC44CD"/>
    <w:rsid w:val="00DC4682"/>
    <w:rsid w:val="00DC53C8"/>
    <w:rsid w:val="00DC71D3"/>
    <w:rsid w:val="00DD7A64"/>
    <w:rsid w:val="00DE0A1D"/>
    <w:rsid w:val="00DE0BFC"/>
    <w:rsid w:val="00DE235A"/>
    <w:rsid w:val="00DE2712"/>
    <w:rsid w:val="00DE6363"/>
    <w:rsid w:val="00DE651B"/>
    <w:rsid w:val="00DE69DA"/>
    <w:rsid w:val="00DE6E1D"/>
    <w:rsid w:val="00DF0B10"/>
    <w:rsid w:val="00DF1FA0"/>
    <w:rsid w:val="00DF328F"/>
    <w:rsid w:val="00DF5C59"/>
    <w:rsid w:val="00DF7F52"/>
    <w:rsid w:val="00E00C64"/>
    <w:rsid w:val="00E01179"/>
    <w:rsid w:val="00E03EE9"/>
    <w:rsid w:val="00E0609B"/>
    <w:rsid w:val="00E07C5B"/>
    <w:rsid w:val="00E10D99"/>
    <w:rsid w:val="00E12930"/>
    <w:rsid w:val="00E13F43"/>
    <w:rsid w:val="00E177A6"/>
    <w:rsid w:val="00E20DED"/>
    <w:rsid w:val="00E214D1"/>
    <w:rsid w:val="00E22DC6"/>
    <w:rsid w:val="00E23021"/>
    <w:rsid w:val="00E23FB6"/>
    <w:rsid w:val="00E24601"/>
    <w:rsid w:val="00E24776"/>
    <w:rsid w:val="00E251B0"/>
    <w:rsid w:val="00E30724"/>
    <w:rsid w:val="00E3124C"/>
    <w:rsid w:val="00E31504"/>
    <w:rsid w:val="00E31512"/>
    <w:rsid w:val="00E31683"/>
    <w:rsid w:val="00E3296F"/>
    <w:rsid w:val="00E34E0F"/>
    <w:rsid w:val="00E40129"/>
    <w:rsid w:val="00E42B6F"/>
    <w:rsid w:val="00E4362B"/>
    <w:rsid w:val="00E4537A"/>
    <w:rsid w:val="00E463D6"/>
    <w:rsid w:val="00E46A08"/>
    <w:rsid w:val="00E501B7"/>
    <w:rsid w:val="00E509E8"/>
    <w:rsid w:val="00E51C32"/>
    <w:rsid w:val="00E52080"/>
    <w:rsid w:val="00E53C22"/>
    <w:rsid w:val="00E57C84"/>
    <w:rsid w:val="00E57D39"/>
    <w:rsid w:val="00E60CB2"/>
    <w:rsid w:val="00E623DD"/>
    <w:rsid w:val="00E64048"/>
    <w:rsid w:val="00E67479"/>
    <w:rsid w:val="00E70918"/>
    <w:rsid w:val="00E714CE"/>
    <w:rsid w:val="00E71D68"/>
    <w:rsid w:val="00E72550"/>
    <w:rsid w:val="00E74FD2"/>
    <w:rsid w:val="00E81104"/>
    <w:rsid w:val="00E814E6"/>
    <w:rsid w:val="00E821F2"/>
    <w:rsid w:val="00E826BA"/>
    <w:rsid w:val="00E8392C"/>
    <w:rsid w:val="00E87786"/>
    <w:rsid w:val="00E87C2D"/>
    <w:rsid w:val="00E90DA9"/>
    <w:rsid w:val="00E90DAB"/>
    <w:rsid w:val="00E95363"/>
    <w:rsid w:val="00E95FE2"/>
    <w:rsid w:val="00E96085"/>
    <w:rsid w:val="00EA084B"/>
    <w:rsid w:val="00EA0931"/>
    <w:rsid w:val="00EA3650"/>
    <w:rsid w:val="00EA5843"/>
    <w:rsid w:val="00EA5FE4"/>
    <w:rsid w:val="00EA7068"/>
    <w:rsid w:val="00EB09C1"/>
    <w:rsid w:val="00EB1F19"/>
    <w:rsid w:val="00EB7BF7"/>
    <w:rsid w:val="00EC0949"/>
    <w:rsid w:val="00EC0E6C"/>
    <w:rsid w:val="00EC1283"/>
    <w:rsid w:val="00EC132E"/>
    <w:rsid w:val="00EC5932"/>
    <w:rsid w:val="00EC5FF2"/>
    <w:rsid w:val="00ED1250"/>
    <w:rsid w:val="00ED44F8"/>
    <w:rsid w:val="00ED60C3"/>
    <w:rsid w:val="00EE0FA7"/>
    <w:rsid w:val="00EE364B"/>
    <w:rsid w:val="00EE4A3F"/>
    <w:rsid w:val="00EE5DF5"/>
    <w:rsid w:val="00EE6955"/>
    <w:rsid w:val="00EF187D"/>
    <w:rsid w:val="00F005DD"/>
    <w:rsid w:val="00F02271"/>
    <w:rsid w:val="00F03EEB"/>
    <w:rsid w:val="00F03FC2"/>
    <w:rsid w:val="00F0456E"/>
    <w:rsid w:val="00F05744"/>
    <w:rsid w:val="00F073BD"/>
    <w:rsid w:val="00F07731"/>
    <w:rsid w:val="00F1234D"/>
    <w:rsid w:val="00F143D6"/>
    <w:rsid w:val="00F1538E"/>
    <w:rsid w:val="00F2004F"/>
    <w:rsid w:val="00F20652"/>
    <w:rsid w:val="00F22B53"/>
    <w:rsid w:val="00F302CC"/>
    <w:rsid w:val="00F34310"/>
    <w:rsid w:val="00F37181"/>
    <w:rsid w:val="00F43147"/>
    <w:rsid w:val="00F4471A"/>
    <w:rsid w:val="00F52492"/>
    <w:rsid w:val="00F55A9D"/>
    <w:rsid w:val="00F60293"/>
    <w:rsid w:val="00F618C1"/>
    <w:rsid w:val="00F6228C"/>
    <w:rsid w:val="00F62B10"/>
    <w:rsid w:val="00F630CA"/>
    <w:rsid w:val="00F6378A"/>
    <w:rsid w:val="00F6518A"/>
    <w:rsid w:val="00F659DA"/>
    <w:rsid w:val="00F70466"/>
    <w:rsid w:val="00F70E29"/>
    <w:rsid w:val="00F7194D"/>
    <w:rsid w:val="00F71B2D"/>
    <w:rsid w:val="00F75093"/>
    <w:rsid w:val="00F76649"/>
    <w:rsid w:val="00F83608"/>
    <w:rsid w:val="00F864B9"/>
    <w:rsid w:val="00F879BD"/>
    <w:rsid w:val="00F92913"/>
    <w:rsid w:val="00F93DB1"/>
    <w:rsid w:val="00F93F62"/>
    <w:rsid w:val="00F96B12"/>
    <w:rsid w:val="00FA060B"/>
    <w:rsid w:val="00FA115E"/>
    <w:rsid w:val="00FA2475"/>
    <w:rsid w:val="00FA5C11"/>
    <w:rsid w:val="00FA63A5"/>
    <w:rsid w:val="00FB1408"/>
    <w:rsid w:val="00FB3F57"/>
    <w:rsid w:val="00FB41D8"/>
    <w:rsid w:val="00FB4D4D"/>
    <w:rsid w:val="00FB544B"/>
    <w:rsid w:val="00FC0F76"/>
    <w:rsid w:val="00FC1570"/>
    <w:rsid w:val="00FC16B9"/>
    <w:rsid w:val="00FC540C"/>
    <w:rsid w:val="00FD0753"/>
    <w:rsid w:val="00FD0E61"/>
    <w:rsid w:val="00FD13A7"/>
    <w:rsid w:val="00FD1EDD"/>
    <w:rsid w:val="00FD3218"/>
    <w:rsid w:val="00FD5F75"/>
    <w:rsid w:val="00FD6371"/>
    <w:rsid w:val="00FE2742"/>
    <w:rsid w:val="00FE28CC"/>
    <w:rsid w:val="00FE2C6F"/>
    <w:rsid w:val="00FE45F4"/>
    <w:rsid w:val="00FF03E4"/>
    <w:rsid w:val="00FF0F5C"/>
    <w:rsid w:val="00FF3DF0"/>
    <w:rsid w:val="00FF44AA"/>
    <w:rsid w:val="00FF7290"/>
    <w:rsid w:val="00FF778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9BE010A"/>
  <w15:chartTrackingRefBased/>
  <w15:docId w15:val="{01B29DA4-5A86-46F4-B2AB-23EA74941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4E37"/>
    <w:rPr>
      <w:rFonts w:ascii="Arial" w:hAnsi="Arial" w:cs="Arial"/>
      <w:spacing w:val="20"/>
      <w:sz w:val="28"/>
      <w:szCs w:val="28"/>
      <w:lang w:val="es-ES" w:eastAsia="es-ES"/>
    </w:rPr>
  </w:style>
  <w:style w:type="paragraph" w:styleId="Ttulo1">
    <w:name w:val="heading 1"/>
    <w:basedOn w:val="Normal"/>
    <w:next w:val="Normal"/>
    <w:qFormat/>
    <w:rsid w:val="00224E37"/>
    <w:pPr>
      <w:keepNext/>
      <w:outlineLvl w:val="0"/>
    </w:pPr>
    <w:rPr>
      <w:b/>
      <w:bCs/>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24E37"/>
    <w:pPr>
      <w:jc w:val="both"/>
    </w:pPr>
    <w:rPr>
      <w:sz w:val="24"/>
      <w:szCs w:val="24"/>
      <w:lang w:val="es-MX"/>
    </w:rPr>
  </w:style>
  <w:style w:type="paragraph" w:styleId="Ttulo">
    <w:name w:val="Title"/>
    <w:basedOn w:val="Normal"/>
    <w:qFormat/>
    <w:rsid w:val="00224E37"/>
    <w:pPr>
      <w:jc w:val="center"/>
      <w:outlineLvl w:val="0"/>
    </w:pPr>
    <w:rPr>
      <w:rFonts w:cs="Times New Roman"/>
      <w:b/>
      <w:bCs/>
      <w:spacing w:val="0"/>
      <w:sz w:val="22"/>
      <w:szCs w:val="22"/>
      <w:lang w:val="es-MX"/>
    </w:rPr>
  </w:style>
  <w:style w:type="paragraph" w:styleId="Sangradetextonormal">
    <w:name w:val="Body Text Indent"/>
    <w:basedOn w:val="Normal"/>
    <w:rsid w:val="00224E37"/>
    <w:pPr>
      <w:keepNext/>
      <w:ind w:left="284" w:hanging="284"/>
      <w:jc w:val="both"/>
    </w:pPr>
    <w:rPr>
      <w:rFonts w:cs="Times New Roman"/>
      <w:sz w:val="20"/>
      <w:szCs w:val="20"/>
      <w:lang w:val="es-MX"/>
    </w:rPr>
  </w:style>
  <w:style w:type="paragraph" w:styleId="Textoindependiente3">
    <w:name w:val="Body Text 3"/>
    <w:basedOn w:val="Normal"/>
    <w:rsid w:val="00224E37"/>
    <w:pPr>
      <w:jc w:val="both"/>
    </w:pPr>
    <w:rPr>
      <w:rFonts w:cs="Times New Roman"/>
      <w:sz w:val="20"/>
      <w:szCs w:val="20"/>
      <w:lang w:val="es-MX"/>
    </w:rPr>
  </w:style>
  <w:style w:type="paragraph" w:styleId="Piedepgina">
    <w:name w:val="footer"/>
    <w:basedOn w:val="Normal"/>
    <w:rsid w:val="00224E37"/>
    <w:pPr>
      <w:tabs>
        <w:tab w:val="center" w:pos="4252"/>
        <w:tab w:val="right" w:pos="8504"/>
      </w:tabs>
    </w:pPr>
  </w:style>
  <w:style w:type="character" w:styleId="Nmerodepgina">
    <w:name w:val="page number"/>
    <w:rsid w:val="00224E37"/>
    <w:rPr>
      <w:rFonts w:cs="Times New Roman"/>
    </w:rPr>
  </w:style>
  <w:style w:type="paragraph" w:styleId="Encabezado">
    <w:name w:val="header"/>
    <w:basedOn w:val="Normal"/>
    <w:rsid w:val="00224E37"/>
    <w:pPr>
      <w:tabs>
        <w:tab w:val="center" w:pos="4252"/>
        <w:tab w:val="right" w:pos="8504"/>
      </w:tabs>
    </w:pPr>
  </w:style>
  <w:style w:type="character" w:styleId="Refdenotaalpie">
    <w:name w:val="footnote reference"/>
    <w:semiHidden/>
    <w:rsid w:val="00224E37"/>
    <w:rPr>
      <w:rFonts w:cs="Times New Roman"/>
      <w:vertAlign w:val="superscript"/>
    </w:rPr>
  </w:style>
  <w:style w:type="paragraph" w:styleId="Mapadeldocumento">
    <w:name w:val="Document Map"/>
    <w:basedOn w:val="Normal"/>
    <w:semiHidden/>
    <w:rsid w:val="00224E37"/>
    <w:pPr>
      <w:shd w:val="clear" w:color="auto" w:fill="000080"/>
    </w:pPr>
    <w:rPr>
      <w:rFonts w:ascii="Tahoma" w:hAnsi="Tahoma" w:cs="Tahoma"/>
      <w:sz w:val="20"/>
      <w:szCs w:val="20"/>
    </w:rPr>
  </w:style>
  <w:style w:type="paragraph" w:customStyle="1" w:styleId="Normal9pt">
    <w:name w:val="Normal + 9 pt"/>
    <w:aliases w:val="Sin Expandido / Comprimido"/>
    <w:basedOn w:val="Textoindependiente"/>
    <w:rsid w:val="00224E37"/>
    <w:pPr>
      <w:numPr>
        <w:numId w:val="1"/>
      </w:numPr>
    </w:pPr>
    <w:rPr>
      <w:spacing w:val="0"/>
      <w:sz w:val="18"/>
      <w:szCs w:val="18"/>
    </w:rPr>
  </w:style>
  <w:style w:type="paragraph" w:styleId="Textodeglobo">
    <w:name w:val="Balloon Text"/>
    <w:basedOn w:val="Normal"/>
    <w:semiHidden/>
    <w:rsid w:val="00224E37"/>
    <w:rPr>
      <w:rFonts w:ascii="Tahoma" w:hAnsi="Tahoma" w:cs="Tahoma"/>
      <w:sz w:val="16"/>
      <w:szCs w:val="16"/>
    </w:rPr>
  </w:style>
  <w:style w:type="character" w:styleId="Refdecomentario">
    <w:name w:val="annotation reference"/>
    <w:semiHidden/>
    <w:rsid w:val="00224E37"/>
    <w:rPr>
      <w:sz w:val="16"/>
      <w:szCs w:val="16"/>
    </w:rPr>
  </w:style>
  <w:style w:type="paragraph" w:styleId="Textocomentario">
    <w:name w:val="annotation text"/>
    <w:basedOn w:val="Normal"/>
    <w:semiHidden/>
    <w:rsid w:val="00224E37"/>
    <w:rPr>
      <w:sz w:val="20"/>
      <w:szCs w:val="20"/>
    </w:rPr>
  </w:style>
  <w:style w:type="paragraph" w:styleId="Asuntodelcomentario">
    <w:name w:val="annotation subject"/>
    <w:basedOn w:val="Textocomentario"/>
    <w:next w:val="Textocomentario"/>
    <w:semiHidden/>
    <w:rsid w:val="00224E37"/>
    <w:rPr>
      <w:b/>
      <w:bCs/>
    </w:rPr>
  </w:style>
  <w:style w:type="paragraph" w:styleId="Prrafodelista">
    <w:name w:val="List Paragraph"/>
    <w:basedOn w:val="Normal"/>
    <w:uiPriority w:val="34"/>
    <w:qFormat/>
    <w:rsid w:val="00CD1E7F"/>
    <w:pPr>
      <w:ind w:left="708"/>
    </w:pPr>
  </w:style>
  <w:style w:type="paragraph" w:styleId="Revisin">
    <w:name w:val="Revision"/>
    <w:hidden/>
    <w:uiPriority w:val="99"/>
    <w:semiHidden/>
    <w:rsid w:val="0023559B"/>
    <w:rPr>
      <w:rFonts w:ascii="Arial" w:hAnsi="Arial" w:cs="Arial"/>
      <w:spacing w:val="20"/>
      <w:sz w:val="28"/>
      <w:szCs w:val="28"/>
      <w:lang w:val="es-ES" w:eastAsia="es-ES"/>
    </w:rPr>
  </w:style>
  <w:style w:type="paragraph" w:styleId="Textonotapie">
    <w:name w:val="footnote text"/>
    <w:basedOn w:val="Normal"/>
    <w:link w:val="TextonotapieCar"/>
    <w:rsid w:val="0023559B"/>
    <w:rPr>
      <w:sz w:val="20"/>
      <w:szCs w:val="20"/>
    </w:rPr>
  </w:style>
  <w:style w:type="character" w:customStyle="1" w:styleId="TextonotapieCar">
    <w:name w:val="Texto nota pie Car"/>
    <w:link w:val="Textonotapie"/>
    <w:rsid w:val="0023559B"/>
    <w:rPr>
      <w:rFonts w:ascii="Arial" w:hAnsi="Arial" w:cs="Arial"/>
      <w:spacing w:val="20"/>
      <w:lang w:val="es-ES" w:eastAsia="es-ES"/>
    </w:rPr>
  </w:style>
  <w:style w:type="character" w:customStyle="1" w:styleId="Titulo3Car">
    <w:name w:val="Titulo 3 Car"/>
    <w:qFormat/>
    <w:rsid w:val="00096349"/>
    <w:rPr>
      <w:rFonts w:ascii="Arial" w:hAnsi="Arial" w:cs="Arial"/>
      <w:b/>
      <w:bCs/>
      <w:sz w:val="16"/>
      <w:szCs w:val="24"/>
      <w:lang w:val="es-E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4659">
      <w:bodyDiv w:val="1"/>
      <w:marLeft w:val="0"/>
      <w:marRight w:val="0"/>
      <w:marTop w:val="0"/>
      <w:marBottom w:val="0"/>
      <w:divBdr>
        <w:top w:val="none" w:sz="0" w:space="0" w:color="auto"/>
        <w:left w:val="none" w:sz="0" w:space="0" w:color="auto"/>
        <w:bottom w:val="none" w:sz="0" w:space="0" w:color="auto"/>
        <w:right w:val="none" w:sz="0" w:space="0" w:color="auto"/>
      </w:divBdr>
    </w:div>
    <w:div w:id="543718019">
      <w:bodyDiv w:val="1"/>
      <w:marLeft w:val="0"/>
      <w:marRight w:val="0"/>
      <w:marTop w:val="0"/>
      <w:marBottom w:val="0"/>
      <w:divBdr>
        <w:top w:val="none" w:sz="0" w:space="0" w:color="auto"/>
        <w:left w:val="none" w:sz="0" w:space="0" w:color="auto"/>
        <w:bottom w:val="none" w:sz="0" w:space="0" w:color="auto"/>
        <w:right w:val="none" w:sz="0" w:space="0" w:color="auto"/>
      </w:divBdr>
    </w:div>
    <w:div w:id="1519929029">
      <w:bodyDiv w:val="1"/>
      <w:marLeft w:val="0"/>
      <w:marRight w:val="0"/>
      <w:marTop w:val="0"/>
      <w:marBottom w:val="0"/>
      <w:divBdr>
        <w:top w:val="none" w:sz="0" w:space="0" w:color="auto"/>
        <w:left w:val="none" w:sz="0" w:space="0" w:color="auto"/>
        <w:bottom w:val="none" w:sz="0" w:space="0" w:color="auto"/>
        <w:right w:val="none" w:sz="0" w:space="0" w:color="auto"/>
      </w:divBdr>
    </w:div>
    <w:div w:id="17780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F835E97-0DE0-42EB-A51E-6D7345E96DBB}">
  <ds:schemaRefs>
    <ds:schemaRef ds:uri="http://schemas.openxmlformats.org/officeDocument/2006/bibliography"/>
  </ds:schemaRefs>
</ds:datastoreItem>
</file>

<file path=customXml/itemProps2.xml><?xml version="1.0" encoding="utf-8"?>
<ds:datastoreItem xmlns:ds="http://schemas.openxmlformats.org/officeDocument/2006/customXml" ds:itemID="{7E916946-5729-41BE-84EF-3481B7F7839F}">
  <ds:schemaRefs>
    <ds:schemaRef ds:uri="http://schemas.microsoft.com/sharepoint/v3/contenttype/forms"/>
  </ds:schemaRefs>
</ds:datastoreItem>
</file>

<file path=customXml/itemProps3.xml><?xml version="1.0" encoding="utf-8"?>
<ds:datastoreItem xmlns:ds="http://schemas.openxmlformats.org/officeDocument/2006/customXml" ds:itemID="{2787AF05-9761-4F61-A99F-9260D1E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6FA3E-C921-41C1-B4AC-EEB6BDA30968}">
  <ds:schemaRefs>
    <ds:schemaRef ds:uri="9056d983-1374-4724-9f8d-2ef5b64379db"/>
    <ds:schemaRef ds:uri="http://schemas.microsoft.com/office/2006/documentManagement/types"/>
    <ds:schemaRef ds:uri="http://purl.org/dc/dcmitype/"/>
    <ds:schemaRef ds:uri="http://www.w3.org/XML/1998/namespace"/>
    <ds:schemaRef ds:uri="http://purl.org/dc/terms/"/>
    <ds:schemaRef ds:uri="http://schemas.openxmlformats.org/package/2006/metadata/core-properties"/>
    <ds:schemaRef ds:uri="http://schemas.microsoft.com/office/2006/metadata/properties"/>
    <ds:schemaRef ds:uri="http://purl.org/dc/elements/1.1/"/>
    <ds:schemaRef ds:uri="http://schemas.microsoft.com/office/infopath/2007/PartnerControls"/>
  </ds:schemaRefs>
</ds:datastoreItem>
</file>

<file path=customXml/itemProps5.xml><?xml version="1.0" encoding="utf-8"?>
<ds:datastoreItem xmlns:ds="http://schemas.openxmlformats.org/officeDocument/2006/customXml" ds:itemID="{F765EDB4-69F2-45FD-9A1E-D80E5B62221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4908</Words>
  <Characters>26508</Characters>
  <Application>Microsoft Office Word</Application>
  <DocSecurity>0</DocSecurity>
  <Lines>602</Lines>
  <Paragraphs>202</Paragraphs>
  <ScaleCrop>false</ScaleCrop>
  <HeadingPairs>
    <vt:vector size="2" baseType="variant">
      <vt:variant>
        <vt:lpstr>Título</vt:lpstr>
      </vt:variant>
      <vt:variant>
        <vt:i4>1</vt:i4>
      </vt:variant>
    </vt:vector>
  </HeadingPairs>
  <TitlesOfParts>
    <vt:vector size="1" baseType="lpstr">
      <vt:lpstr>CAPITULO XXI: REGLAS APLICABLES A LA GESTIÓN DE LOS RIESGOS DE MERCADO</vt:lpstr>
    </vt:vector>
  </TitlesOfParts>
  <Company>Superfinanciera</Company>
  <LinksUpToDate>false</LinksUpToDate>
  <CharactersWithSpaces>31214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CAPITULO XXI: REGLAS APLICABLES A LA GESTIÓN DE LOS RIESGOS DE MERCADO</dc:title>
  <dc:subject/>
  <dc:creator>amortiz</dc:creator>
  <cp:keywords/>
  <cp:lastModifiedBy>Superintendencia Financiera de Colombia</cp:lastModifiedBy>
  <cp:revision>5</cp:revision>
  <cp:lastPrinted>2017-10-26T14:16:00Z</cp:lastPrinted>
  <dcterms:created xsi:type="dcterms:W3CDTF">2026-02-22T01:25:00Z</dcterms:created>
  <dcterms:modified xsi:type="dcterms:W3CDTF">2026-02-22T01:30:00Z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Luis Gerardo Ramos Marin</vt:lpwstr>
  </property>
  <property fmtid="{D5CDD505-2E9C-101B-9397-08002B2CF9AE}" pid="4" name="Order">
    <vt:lpwstr>127800.000000000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Luis Gerardo Ramos Marin</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0x010100F5F2FE8D899FE44598E59C76F6535007</vt:lpwstr>
  </property>
  <property fmtid="{D5CDD505-2E9C-101B-9397-08002B2CF9AE}" pid="11" name="TriggerFlowInfo">
    <vt:lpwstr/>
  </property>
</Properties>
</file>